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C4409" w14:textId="4A34AF03" w:rsidR="00572D38" w:rsidRDefault="0042169F">
      <w:pPr>
        <w:rPr>
          <w:rFonts w:ascii="Source Sans Pro" w:hAnsi="Source Sans Pro"/>
          <w:b/>
          <w:bCs/>
          <w:color w:val="FF0000"/>
          <w:sz w:val="28"/>
          <w:szCs w:val="28"/>
        </w:rPr>
      </w:pPr>
      <w:r w:rsidRPr="004A13A2">
        <w:rPr>
          <w:rFonts w:ascii="Source Sans Pro" w:hAnsi="Source Sans Pro"/>
          <w:b/>
          <w:bCs/>
          <w:sz w:val="28"/>
          <w:szCs w:val="28"/>
        </w:rPr>
        <w:t xml:space="preserve">Responsibilities of host and home agencies </w:t>
      </w:r>
      <w:r w:rsidRPr="004A13A2">
        <w:rPr>
          <w:rFonts w:ascii="Source Sans Pro" w:hAnsi="Source Sans Pro"/>
          <w:b/>
          <w:bCs/>
          <w:color w:val="FF0000"/>
          <w:sz w:val="28"/>
          <w:szCs w:val="28"/>
        </w:rPr>
        <w:t xml:space="preserve">(amend as appropriate and delete if not applicable) </w:t>
      </w:r>
    </w:p>
    <w:p w14:paraId="3EE90D48" w14:textId="77777777" w:rsidR="004562BA" w:rsidRPr="004A13A2" w:rsidRDefault="004562BA">
      <w:pPr>
        <w:rPr>
          <w:rFonts w:ascii="Source Sans Pro" w:hAnsi="Source Sans Pro"/>
          <w:b/>
          <w:bCs/>
          <w:color w:val="FF0000"/>
          <w:sz w:val="28"/>
          <w:szCs w:val="28"/>
        </w:rPr>
      </w:pPr>
    </w:p>
    <w:tbl>
      <w:tblPr>
        <w:tblStyle w:val="TableGrid"/>
        <w:tblW w:w="0" w:type="auto"/>
        <w:tblInd w:w="360" w:type="dxa"/>
        <w:tblLook w:val="04A0" w:firstRow="1" w:lastRow="0" w:firstColumn="1" w:lastColumn="0" w:noHBand="0" w:noVBand="1"/>
      </w:tblPr>
      <w:tblGrid>
        <w:gridCol w:w="1722"/>
        <w:gridCol w:w="3688"/>
        <w:gridCol w:w="4304"/>
        <w:gridCol w:w="3874"/>
      </w:tblGrid>
      <w:tr w:rsidR="001919ED" w:rsidRPr="004A13A2" w14:paraId="40794FC9" w14:textId="77777777" w:rsidTr="007F58A7">
        <w:trPr>
          <w:trHeight w:val="863"/>
          <w:tblHeader/>
        </w:trPr>
        <w:tc>
          <w:tcPr>
            <w:tcW w:w="1691" w:type="dxa"/>
          </w:tcPr>
          <w:p w14:paraId="605E4575" w14:textId="77777777" w:rsidR="0042169F" w:rsidRPr="004A13A2" w:rsidRDefault="0042169F" w:rsidP="009E477B">
            <w:pPr>
              <w:rPr>
                <w:rFonts w:ascii="Source Sans Pro" w:hAnsi="Source Sans Pro"/>
                <w:b/>
                <w:bCs/>
                <w:sz w:val="24"/>
                <w:szCs w:val="24"/>
              </w:rPr>
            </w:pPr>
          </w:p>
        </w:tc>
        <w:tc>
          <w:tcPr>
            <w:tcW w:w="3698" w:type="dxa"/>
          </w:tcPr>
          <w:p w14:paraId="38EE4827" w14:textId="77777777" w:rsidR="004A13A2" w:rsidRPr="00330C70" w:rsidRDefault="004A13A2" w:rsidP="009E477B">
            <w:pPr>
              <w:rPr>
                <w:rFonts w:ascii="Source Sans Pro" w:hAnsi="Source Sans Pro"/>
                <w:b/>
                <w:bCs/>
                <w:sz w:val="28"/>
                <w:szCs w:val="28"/>
              </w:rPr>
            </w:pPr>
          </w:p>
          <w:p w14:paraId="1B9B7A8A" w14:textId="69D55A18" w:rsidR="0042169F" w:rsidRPr="00330C70" w:rsidRDefault="0042169F" w:rsidP="009E477B">
            <w:pPr>
              <w:rPr>
                <w:rFonts w:ascii="Source Sans Pro" w:hAnsi="Source Sans Pro"/>
                <w:b/>
                <w:bCs/>
                <w:sz w:val="28"/>
                <w:szCs w:val="28"/>
              </w:rPr>
            </w:pPr>
            <w:r w:rsidRPr="00330C70">
              <w:rPr>
                <w:rFonts w:ascii="Source Sans Pro" w:hAnsi="Source Sans Pro"/>
                <w:b/>
                <w:bCs/>
                <w:sz w:val="28"/>
                <w:szCs w:val="28"/>
              </w:rPr>
              <w:t>Host agency</w:t>
            </w:r>
          </w:p>
        </w:tc>
        <w:tc>
          <w:tcPr>
            <w:tcW w:w="4311" w:type="dxa"/>
          </w:tcPr>
          <w:p w14:paraId="0A4C3564" w14:textId="77777777" w:rsidR="004A13A2" w:rsidRPr="00330C70" w:rsidRDefault="004A13A2" w:rsidP="009E477B">
            <w:pPr>
              <w:rPr>
                <w:rFonts w:ascii="Source Sans Pro" w:hAnsi="Source Sans Pro"/>
                <w:b/>
                <w:bCs/>
                <w:sz w:val="28"/>
                <w:szCs w:val="28"/>
              </w:rPr>
            </w:pPr>
          </w:p>
          <w:p w14:paraId="36B8BC3A" w14:textId="2852C494" w:rsidR="0042169F" w:rsidRPr="00330C70" w:rsidRDefault="0042169F" w:rsidP="009E477B">
            <w:pPr>
              <w:rPr>
                <w:rFonts w:ascii="Source Sans Pro" w:hAnsi="Source Sans Pro"/>
                <w:b/>
                <w:bCs/>
                <w:sz w:val="28"/>
                <w:szCs w:val="28"/>
              </w:rPr>
            </w:pPr>
            <w:r w:rsidRPr="00330C70">
              <w:rPr>
                <w:rFonts w:ascii="Source Sans Pro" w:hAnsi="Source Sans Pro"/>
                <w:b/>
                <w:bCs/>
                <w:sz w:val="28"/>
                <w:szCs w:val="28"/>
              </w:rPr>
              <w:t>Home agency</w:t>
            </w:r>
          </w:p>
        </w:tc>
        <w:tc>
          <w:tcPr>
            <w:tcW w:w="3888" w:type="dxa"/>
          </w:tcPr>
          <w:p w14:paraId="728173A5" w14:textId="77777777" w:rsidR="004A13A2" w:rsidRPr="00330C70" w:rsidRDefault="004A13A2" w:rsidP="009E477B">
            <w:pPr>
              <w:rPr>
                <w:rFonts w:ascii="Source Sans Pro" w:hAnsi="Source Sans Pro"/>
                <w:b/>
                <w:bCs/>
                <w:sz w:val="28"/>
                <w:szCs w:val="28"/>
              </w:rPr>
            </w:pPr>
          </w:p>
          <w:p w14:paraId="6819CA78" w14:textId="28A8E5B7" w:rsidR="0042169F" w:rsidRPr="00330C70" w:rsidRDefault="0042169F" w:rsidP="009E477B">
            <w:pPr>
              <w:rPr>
                <w:rFonts w:ascii="Source Sans Pro" w:hAnsi="Source Sans Pro"/>
                <w:b/>
                <w:bCs/>
                <w:sz w:val="28"/>
                <w:szCs w:val="28"/>
              </w:rPr>
            </w:pPr>
            <w:r w:rsidRPr="00330C70">
              <w:rPr>
                <w:rFonts w:ascii="Source Sans Pro" w:hAnsi="Source Sans Pro"/>
                <w:b/>
                <w:bCs/>
                <w:sz w:val="28"/>
                <w:szCs w:val="28"/>
              </w:rPr>
              <w:t>Secondee</w:t>
            </w:r>
          </w:p>
        </w:tc>
      </w:tr>
      <w:tr w:rsidR="001919ED" w:rsidRPr="0042169F" w14:paraId="141A34AA" w14:textId="77777777" w:rsidTr="007F58A7">
        <w:trPr>
          <w:trHeight w:val="3943"/>
        </w:trPr>
        <w:tc>
          <w:tcPr>
            <w:tcW w:w="1691" w:type="dxa"/>
          </w:tcPr>
          <w:p w14:paraId="08F6A4F8" w14:textId="77777777" w:rsidR="0042169F" w:rsidRPr="001919ED" w:rsidRDefault="0042169F" w:rsidP="009E477B">
            <w:pPr>
              <w:rPr>
                <w:rFonts w:ascii="Source Sans Pro" w:hAnsi="Source Sans Pro"/>
                <w:b/>
                <w:bCs/>
                <w:sz w:val="26"/>
                <w:szCs w:val="26"/>
              </w:rPr>
            </w:pPr>
            <w:r w:rsidRPr="001919ED">
              <w:rPr>
                <w:rFonts w:ascii="Source Sans Pro" w:hAnsi="Source Sans Pro"/>
                <w:b/>
                <w:bCs/>
                <w:sz w:val="26"/>
                <w:szCs w:val="26"/>
              </w:rPr>
              <w:t>General</w:t>
            </w:r>
          </w:p>
        </w:tc>
        <w:tc>
          <w:tcPr>
            <w:tcW w:w="3698" w:type="dxa"/>
          </w:tcPr>
          <w:p w14:paraId="7923747D" w14:textId="77777777" w:rsidR="0042169F" w:rsidRDefault="0042169F" w:rsidP="006E2D95">
            <w:pPr>
              <w:pStyle w:val="ListParagraph"/>
              <w:numPr>
                <w:ilvl w:val="0"/>
                <w:numId w:val="2"/>
              </w:numPr>
              <w:spacing w:line="276" w:lineRule="auto"/>
              <w:ind w:left="360"/>
              <w:rPr>
                <w:rFonts w:ascii="Source Sans Pro" w:hAnsi="Source Sans Pro"/>
                <w:sz w:val="24"/>
                <w:szCs w:val="24"/>
              </w:rPr>
            </w:pPr>
            <w:r w:rsidRPr="006E2D95">
              <w:rPr>
                <w:rFonts w:ascii="Source Sans Pro" w:hAnsi="Source Sans Pro"/>
                <w:sz w:val="24"/>
                <w:szCs w:val="24"/>
              </w:rPr>
              <w:t>The general induction of the Secondee into the agencies business.</w:t>
            </w:r>
          </w:p>
          <w:p w14:paraId="6E4F97C9" w14:textId="77777777" w:rsidR="00FF5BA8" w:rsidRPr="006E2D95" w:rsidRDefault="00FF5BA8" w:rsidP="00FF5BA8">
            <w:pPr>
              <w:pStyle w:val="ListParagraph"/>
              <w:spacing w:line="276" w:lineRule="auto"/>
              <w:ind w:left="360"/>
              <w:rPr>
                <w:rFonts w:ascii="Source Sans Pro" w:hAnsi="Source Sans Pro"/>
                <w:sz w:val="24"/>
                <w:szCs w:val="24"/>
              </w:rPr>
            </w:pPr>
          </w:p>
          <w:p w14:paraId="6038DAAA" w14:textId="77777777" w:rsidR="0042169F" w:rsidRDefault="0042169F" w:rsidP="006E2D95">
            <w:pPr>
              <w:pStyle w:val="ListParagraph"/>
              <w:numPr>
                <w:ilvl w:val="0"/>
                <w:numId w:val="2"/>
              </w:numPr>
              <w:spacing w:line="276" w:lineRule="auto"/>
              <w:ind w:left="360"/>
              <w:rPr>
                <w:rFonts w:ascii="Source Sans Pro" w:hAnsi="Source Sans Pro"/>
                <w:sz w:val="24"/>
                <w:szCs w:val="24"/>
              </w:rPr>
            </w:pPr>
            <w:r w:rsidRPr="006E2D95">
              <w:rPr>
                <w:rFonts w:ascii="Source Sans Pro" w:hAnsi="Source Sans Pro"/>
                <w:sz w:val="24"/>
                <w:szCs w:val="24"/>
              </w:rPr>
              <w:t>Providing the Secondee with the resources and tools they need to perform the job.</w:t>
            </w:r>
          </w:p>
          <w:p w14:paraId="2270B9C9" w14:textId="77777777" w:rsidR="00FF5BA8" w:rsidRPr="00FF5BA8" w:rsidRDefault="00FF5BA8" w:rsidP="00FF5BA8">
            <w:pPr>
              <w:pStyle w:val="ListParagraph"/>
              <w:rPr>
                <w:rFonts w:ascii="Source Sans Pro" w:hAnsi="Source Sans Pro"/>
                <w:sz w:val="24"/>
                <w:szCs w:val="24"/>
              </w:rPr>
            </w:pPr>
          </w:p>
          <w:p w14:paraId="6624878B" w14:textId="77777777" w:rsidR="00FF5BA8" w:rsidRPr="006E2D95" w:rsidRDefault="00FF5BA8" w:rsidP="00FF5BA8">
            <w:pPr>
              <w:pStyle w:val="ListParagraph"/>
              <w:spacing w:line="276" w:lineRule="auto"/>
              <w:ind w:left="360"/>
              <w:rPr>
                <w:rFonts w:ascii="Source Sans Pro" w:hAnsi="Source Sans Pro"/>
                <w:sz w:val="24"/>
                <w:szCs w:val="24"/>
              </w:rPr>
            </w:pPr>
          </w:p>
          <w:p w14:paraId="0029A452" w14:textId="77777777" w:rsidR="0042169F" w:rsidRDefault="0042169F" w:rsidP="006E2D95">
            <w:pPr>
              <w:pStyle w:val="ListParagraph"/>
              <w:numPr>
                <w:ilvl w:val="0"/>
                <w:numId w:val="2"/>
              </w:numPr>
              <w:spacing w:line="276" w:lineRule="auto"/>
              <w:ind w:left="360"/>
              <w:rPr>
                <w:rFonts w:ascii="Source Sans Pro" w:hAnsi="Source Sans Pro"/>
                <w:sz w:val="24"/>
                <w:szCs w:val="24"/>
              </w:rPr>
            </w:pPr>
            <w:r w:rsidRPr="006E2D95">
              <w:rPr>
                <w:rFonts w:ascii="Source Sans Pro" w:hAnsi="Source Sans Pro"/>
                <w:sz w:val="24"/>
                <w:szCs w:val="24"/>
              </w:rPr>
              <w:t>Providing clear role responsibilities and accountabilities for the Secondee.</w:t>
            </w:r>
          </w:p>
          <w:p w14:paraId="21AF9681" w14:textId="77777777" w:rsidR="00FF5BA8" w:rsidRPr="006E2D95" w:rsidRDefault="00FF5BA8" w:rsidP="00FF5BA8">
            <w:pPr>
              <w:pStyle w:val="ListParagraph"/>
              <w:spacing w:line="276" w:lineRule="auto"/>
              <w:ind w:left="360"/>
              <w:rPr>
                <w:rFonts w:ascii="Source Sans Pro" w:hAnsi="Source Sans Pro"/>
                <w:sz w:val="24"/>
                <w:szCs w:val="24"/>
              </w:rPr>
            </w:pPr>
          </w:p>
          <w:p w14:paraId="58919B3B" w14:textId="77777777" w:rsidR="0042169F" w:rsidRDefault="0042169F" w:rsidP="006E2D95">
            <w:pPr>
              <w:pStyle w:val="ListParagraph"/>
              <w:numPr>
                <w:ilvl w:val="0"/>
                <w:numId w:val="2"/>
              </w:numPr>
              <w:spacing w:line="276" w:lineRule="auto"/>
              <w:ind w:left="360"/>
              <w:rPr>
                <w:rFonts w:ascii="Source Sans Pro" w:hAnsi="Source Sans Pro"/>
                <w:sz w:val="24"/>
                <w:szCs w:val="24"/>
              </w:rPr>
            </w:pPr>
            <w:r w:rsidRPr="006E2D95">
              <w:rPr>
                <w:rFonts w:ascii="Source Sans Pro" w:hAnsi="Source Sans Pro"/>
                <w:sz w:val="24"/>
                <w:szCs w:val="24"/>
              </w:rPr>
              <w:t>Providing end of Secondment debrief to Home Manager.</w:t>
            </w:r>
          </w:p>
          <w:p w14:paraId="1603C6D7" w14:textId="77777777" w:rsidR="00FF5BA8" w:rsidRPr="00FF5BA8" w:rsidRDefault="00FF5BA8" w:rsidP="00FF5BA8">
            <w:pPr>
              <w:pStyle w:val="ListParagraph"/>
              <w:rPr>
                <w:rFonts w:ascii="Source Sans Pro" w:hAnsi="Source Sans Pro"/>
                <w:sz w:val="24"/>
                <w:szCs w:val="24"/>
              </w:rPr>
            </w:pPr>
          </w:p>
          <w:p w14:paraId="35764A0E" w14:textId="77777777" w:rsidR="00FF5BA8" w:rsidRPr="006E2D95" w:rsidRDefault="00FF5BA8" w:rsidP="00FF5BA8">
            <w:pPr>
              <w:pStyle w:val="ListParagraph"/>
              <w:spacing w:line="276" w:lineRule="auto"/>
              <w:ind w:left="360"/>
              <w:rPr>
                <w:rFonts w:ascii="Source Sans Pro" w:hAnsi="Source Sans Pro"/>
                <w:sz w:val="24"/>
                <w:szCs w:val="24"/>
              </w:rPr>
            </w:pPr>
          </w:p>
          <w:p w14:paraId="64FCFE2D" w14:textId="74D8CDF7" w:rsidR="0042169F" w:rsidRPr="0042169F" w:rsidRDefault="0042169F" w:rsidP="006E2D95">
            <w:pPr>
              <w:pStyle w:val="SSCbullet"/>
              <w:numPr>
                <w:ilvl w:val="0"/>
                <w:numId w:val="2"/>
              </w:numPr>
              <w:tabs>
                <w:tab w:val="clear" w:pos="567"/>
              </w:tabs>
              <w:spacing w:after="0" w:line="276" w:lineRule="auto"/>
              <w:ind w:left="360"/>
              <w:jc w:val="left"/>
              <w:rPr>
                <w:rFonts w:ascii="Source Sans Pro" w:hAnsi="Source Sans Pro" w:cstheme="minorHAnsi"/>
              </w:rPr>
            </w:pPr>
            <w:r w:rsidRPr="0042169F">
              <w:rPr>
                <w:rFonts w:ascii="Source Sans Pro" w:hAnsi="Source Sans Pro" w:cstheme="minorHAnsi"/>
              </w:rPr>
              <w:t>Otherwise complying with the Host</w:t>
            </w:r>
            <w:r w:rsidR="006E2D95">
              <w:rPr>
                <w:rFonts w:ascii="Source Sans Pro" w:hAnsi="Source Sans Pro" w:cstheme="minorHAnsi"/>
              </w:rPr>
              <w:t xml:space="preserve"> </w:t>
            </w:r>
            <w:r w:rsidRPr="0042169F">
              <w:rPr>
                <w:rFonts w:ascii="Source Sans Pro" w:hAnsi="Source Sans Pro" w:cstheme="minorHAnsi"/>
              </w:rPr>
              <w:t>Agency’s obligations under this agreement.</w:t>
            </w:r>
          </w:p>
          <w:p w14:paraId="58AFE11C" w14:textId="77777777" w:rsidR="0042169F" w:rsidRPr="0042169F" w:rsidRDefault="0042169F" w:rsidP="006E2D95">
            <w:pPr>
              <w:spacing w:line="276" w:lineRule="auto"/>
              <w:rPr>
                <w:rFonts w:ascii="Source Sans Pro" w:hAnsi="Source Sans Pro"/>
                <w:sz w:val="24"/>
                <w:szCs w:val="24"/>
              </w:rPr>
            </w:pPr>
          </w:p>
          <w:p w14:paraId="6E5BC410" w14:textId="77777777" w:rsidR="0042169F" w:rsidRPr="0042169F" w:rsidRDefault="0042169F" w:rsidP="009E477B">
            <w:pPr>
              <w:rPr>
                <w:rFonts w:ascii="Source Sans Pro" w:hAnsi="Source Sans Pro"/>
                <w:sz w:val="24"/>
                <w:szCs w:val="24"/>
              </w:rPr>
            </w:pPr>
          </w:p>
        </w:tc>
        <w:tc>
          <w:tcPr>
            <w:tcW w:w="4311" w:type="dxa"/>
          </w:tcPr>
          <w:p w14:paraId="517D924C" w14:textId="77777777" w:rsidR="0042169F" w:rsidRDefault="0042169F" w:rsidP="0072233E">
            <w:pPr>
              <w:pStyle w:val="SSCbullet"/>
              <w:numPr>
                <w:ilvl w:val="0"/>
                <w:numId w:val="1"/>
              </w:numPr>
              <w:tabs>
                <w:tab w:val="clear" w:pos="567"/>
              </w:tabs>
              <w:spacing w:after="0" w:line="276" w:lineRule="auto"/>
              <w:ind w:left="457" w:hanging="284"/>
              <w:jc w:val="left"/>
              <w:rPr>
                <w:rFonts w:ascii="Source Sans Pro" w:hAnsi="Source Sans Pro" w:cstheme="minorHAnsi"/>
              </w:rPr>
            </w:pPr>
            <w:r w:rsidRPr="0042169F">
              <w:rPr>
                <w:rFonts w:ascii="Source Sans Pro" w:hAnsi="Source Sans Pro" w:cstheme="minorHAnsi"/>
              </w:rPr>
              <w:lastRenderedPageBreak/>
              <w:t>Nominating a manager to liaise with the Secondee during the term of the Secondment.</w:t>
            </w:r>
          </w:p>
          <w:p w14:paraId="4AD15396" w14:textId="77777777" w:rsidR="00FF5BA8" w:rsidRPr="0042169F" w:rsidRDefault="00FF5BA8" w:rsidP="00FF5BA8">
            <w:pPr>
              <w:pStyle w:val="SSCbullet"/>
              <w:tabs>
                <w:tab w:val="clear" w:pos="567"/>
              </w:tabs>
              <w:spacing w:after="0" w:line="276" w:lineRule="auto"/>
              <w:ind w:left="457" w:firstLine="0"/>
              <w:jc w:val="left"/>
              <w:rPr>
                <w:rFonts w:ascii="Source Sans Pro" w:hAnsi="Source Sans Pro" w:cstheme="minorHAnsi"/>
              </w:rPr>
            </w:pPr>
          </w:p>
          <w:p w14:paraId="59624A72" w14:textId="77777777" w:rsidR="0042169F" w:rsidRDefault="0042169F" w:rsidP="0072233E">
            <w:pPr>
              <w:pStyle w:val="SSCbullet"/>
              <w:numPr>
                <w:ilvl w:val="0"/>
                <w:numId w:val="1"/>
              </w:numPr>
              <w:tabs>
                <w:tab w:val="clear" w:pos="567"/>
              </w:tabs>
              <w:spacing w:after="0" w:line="276" w:lineRule="auto"/>
              <w:ind w:left="457" w:hanging="284"/>
              <w:jc w:val="left"/>
              <w:rPr>
                <w:rFonts w:ascii="Source Sans Pro" w:hAnsi="Source Sans Pro" w:cstheme="minorHAnsi"/>
              </w:rPr>
            </w:pPr>
            <w:r w:rsidRPr="0042169F">
              <w:rPr>
                <w:rFonts w:ascii="Source Sans Pro" w:hAnsi="Source Sans Pro" w:cstheme="minorHAnsi"/>
              </w:rPr>
              <w:t>Keep the Secondee’s substantive role open during the Secondment, i.e. not make a permanent appointment to the role.</w:t>
            </w:r>
          </w:p>
          <w:p w14:paraId="10F9B57A" w14:textId="77777777" w:rsidR="00FF5BA8" w:rsidRPr="0042169F" w:rsidRDefault="00FF5BA8" w:rsidP="00FF5BA8">
            <w:pPr>
              <w:pStyle w:val="SSCbullet"/>
              <w:tabs>
                <w:tab w:val="clear" w:pos="567"/>
              </w:tabs>
              <w:spacing w:after="0" w:line="276" w:lineRule="auto"/>
              <w:ind w:left="457" w:firstLine="0"/>
              <w:jc w:val="left"/>
              <w:rPr>
                <w:rFonts w:ascii="Source Sans Pro" w:hAnsi="Source Sans Pro" w:cstheme="minorHAnsi"/>
              </w:rPr>
            </w:pPr>
          </w:p>
          <w:p w14:paraId="2ACED347" w14:textId="77777777" w:rsidR="0042169F" w:rsidRDefault="0042169F" w:rsidP="0072233E">
            <w:pPr>
              <w:pStyle w:val="ListParagraph"/>
              <w:numPr>
                <w:ilvl w:val="0"/>
                <w:numId w:val="1"/>
              </w:numPr>
              <w:spacing w:line="276" w:lineRule="auto"/>
              <w:ind w:left="457" w:hanging="284"/>
              <w:rPr>
                <w:rFonts w:ascii="Source Sans Pro" w:eastAsia="Times New Roman" w:hAnsi="Source Sans Pro" w:cstheme="minorHAnsi"/>
                <w:sz w:val="24"/>
                <w:szCs w:val="24"/>
                <w:lang w:val="en-GB"/>
              </w:rPr>
            </w:pPr>
            <w:r w:rsidRPr="0042169F">
              <w:rPr>
                <w:rFonts w:ascii="Source Sans Pro" w:eastAsia="Times New Roman" w:hAnsi="Source Sans Pro" w:cstheme="minorHAnsi"/>
                <w:sz w:val="24"/>
                <w:szCs w:val="24"/>
                <w:lang w:val="en-GB"/>
              </w:rPr>
              <w:t>Continuing to pay the Secondee and provide necessary payroll and leave administration, taking account of Treasury guidance relating to appropriations.</w:t>
            </w:r>
          </w:p>
          <w:p w14:paraId="3BFF6120" w14:textId="77777777" w:rsidR="00FF5BA8" w:rsidRPr="0042169F" w:rsidRDefault="00FF5BA8" w:rsidP="00FF5BA8">
            <w:pPr>
              <w:pStyle w:val="ListParagraph"/>
              <w:spacing w:line="276" w:lineRule="auto"/>
              <w:ind w:left="457"/>
              <w:rPr>
                <w:rFonts w:ascii="Source Sans Pro" w:eastAsia="Times New Roman" w:hAnsi="Source Sans Pro" w:cstheme="minorHAnsi"/>
                <w:sz w:val="24"/>
                <w:szCs w:val="24"/>
                <w:lang w:val="en-GB"/>
              </w:rPr>
            </w:pPr>
          </w:p>
          <w:p w14:paraId="5B8C18CB" w14:textId="77777777" w:rsidR="0042169F" w:rsidRDefault="0042169F" w:rsidP="0072233E">
            <w:pPr>
              <w:pStyle w:val="ListParagraph"/>
              <w:numPr>
                <w:ilvl w:val="0"/>
                <w:numId w:val="1"/>
              </w:numPr>
              <w:spacing w:line="276" w:lineRule="auto"/>
              <w:ind w:left="457" w:hanging="284"/>
              <w:rPr>
                <w:rFonts w:ascii="Source Sans Pro" w:hAnsi="Source Sans Pro"/>
                <w:sz w:val="24"/>
                <w:szCs w:val="24"/>
              </w:rPr>
            </w:pPr>
            <w:r w:rsidRPr="0042169F">
              <w:rPr>
                <w:rFonts w:ascii="Source Sans Pro" w:hAnsi="Source Sans Pro"/>
                <w:sz w:val="24"/>
                <w:szCs w:val="24"/>
              </w:rPr>
              <w:t xml:space="preserve">Manging leave including accrual of leave entitlements, approving leave </w:t>
            </w:r>
            <w:r w:rsidRPr="0042169F">
              <w:rPr>
                <w:rFonts w:ascii="Source Sans Pro" w:hAnsi="Source Sans Pro"/>
                <w:sz w:val="24"/>
                <w:szCs w:val="24"/>
              </w:rPr>
              <w:lastRenderedPageBreak/>
              <w:t>requests in consultation with the Host Manager and keeping records of leave taken.</w:t>
            </w:r>
          </w:p>
          <w:p w14:paraId="28A000F5" w14:textId="77777777" w:rsidR="0042169F" w:rsidRDefault="0042169F" w:rsidP="00330C70">
            <w:pPr>
              <w:pStyle w:val="ListParagraph"/>
              <w:numPr>
                <w:ilvl w:val="0"/>
                <w:numId w:val="1"/>
              </w:numPr>
              <w:spacing w:line="276" w:lineRule="auto"/>
              <w:ind w:left="457" w:hanging="284"/>
              <w:rPr>
                <w:rFonts w:ascii="Source Sans Pro" w:hAnsi="Source Sans Pro"/>
                <w:sz w:val="24"/>
                <w:szCs w:val="24"/>
              </w:rPr>
            </w:pPr>
            <w:r w:rsidRPr="0042169F">
              <w:rPr>
                <w:rFonts w:ascii="Source Sans Pro" w:hAnsi="Source Sans Pro"/>
                <w:sz w:val="24"/>
                <w:szCs w:val="24"/>
              </w:rPr>
              <w:t>Keeping the Secondee briefed on work-related activities and events occurring at the Home Agency and any organisational change that may impact their substantive role.</w:t>
            </w:r>
          </w:p>
          <w:p w14:paraId="3B9FEA66" w14:textId="77777777" w:rsidR="00FF5BA8" w:rsidRPr="0042169F" w:rsidRDefault="00FF5BA8" w:rsidP="00FF5BA8">
            <w:pPr>
              <w:pStyle w:val="ListParagraph"/>
              <w:spacing w:line="276" w:lineRule="auto"/>
              <w:ind w:left="457"/>
              <w:rPr>
                <w:rFonts w:ascii="Source Sans Pro" w:hAnsi="Source Sans Pro"/>
                <w:sz w:val="24"/>
                <w:szCs w:val="24"/>
              </w:rPr>
            </w:pPr>
          </w:p>
          <w:p w14:paraId="1D518F59" w14:textId="77777777" w:rsidR="0042169F" w:rsidRDefault="0042169F" w:rsidP="00330C70">
            <w:pPr>
              <w:pStyle w:val="ListParagraph"/>
              <w:numPr>
                <w:ilvl w:val="0"/>
                <w:numId w:val="1"/>
              </w:numPr>
              <w:spacing w:line="276" w:lineRule="auto"/>
              <w:ind w:left="457" w:hanging="284"/>
              <w:rPr>
                <w:rFonts w:ascii="Source Sans Pro" w:hAnsi="Source Sans Pro"/>
                <w:sz w:val="24"/>
                <w:szCs w:val="24"/>
              </w:rPr>
            </w:pPr>
            <w:r w:rsidRPr="0042169F">
              <w:rPr>
                <w:rFonts w:ascii="Source Sans Pro" w:hAnsi="Source Sans Pro"/>
                <w:sz w:val="24"/>
                <w:szCs w:val="24"/>
              </w:rPr>
              <w:t>Ensuring that the Secondee is invited to significant work-related and social events at the Home Agency</w:t>
            </w:r>
          </w:p>
          <w:p w14:paraId="0639031F" w14:textId="77777777" w:rsidR="00FF5BA8" w:rsidRPr="0042169F" w:rsidRDefault="00FF5BA8" w:rsidP="00FF5BA8">
            <w:pPr>
              <w:pStyle w:val="ListParagraph"/>
              <w:spacing w:line="276" w:lineRule="auto"/>
              <w:ind w:left="457"/>
              <w:rPr>
                <w:rFonts w:ascii="Source Sans Pro" w:hAnsi="Source Sans Pro"/>
                <w:sz w:val="24"/>
                <w:szCs w:val="24"/>
              </w:rPr>
            </w:pPr>
          </w:p>
          <w:p w14:paraId="5CF502BA" w14:textId="77777777" w:rsidR="0042169F" w:rsidRDefault="0042169F" w:rsidP="00330C70">
            <w:pPr>
              <w:pStyle w:val="ListParagraph"/>
              <w:numPr>
                <w:ilvl w:val="0"/>
                <w:numId w:val="1"/>
              </w:numPr>
              <w:spacing w:line="276" w:lineRule="auto"/>
              <w:ind w:left="457" w:hanging="284"/>
              <w:rPr>
                <w:rFonts w:ascii="Source Sans Pro" w:hAnsi="Source Sans Pro"/>
                <w:sz w:val="24"/>
                <w:szCs w:val="24"/>
              </w:rPr>
            </w:pPr>
            <w:r w:rsidRPr="0042169F">
              <w:rPr>
                <w:rFonts w:ascii="Source Sans Pro" w:hAnsi="Source Sans Pro"/>
                <w:sz w:val="24"/>
                <w:szCs w:val="24"/>
              </w:rPr>
              <w:t>Undertaking a debrief at end of Secondment.</w:t>
            </w:r>
          </w:p>
          <w:p w14:paraId="4B2BD927" w14:textId="77777777" w:rsidR="00FF5BA8" w:rsidRPr="0042169F" w:rsidRDefault="00FF5BA8" w:rsidP="00FF5BA8">
            <w:pPr>
              <w:pStyle w:val="ListParagraph"/>
              <w:spacing w:line="276" w:lineRule="auto"/>
              <w:ind w:left="457"/>
              <w:rPr>
                <w:rFonts w:ascii="Source Sans Pro" w:hAnsi="Source Sans Pro"/>
                <w:sz w:val="24"/>
                <w:szCs w:val="24"/>
              </w:rPr>
            </w:pPr>
          </w:p>
          <w:p w14:paraId="3E7678A8" w14:textId="77777777" w:rsidR="0042169F" w:rsidRPr="0042169F" w:rsidRDefault="0042169F" w:rsidP="00330C70">
            <w:pPr>
              <w:pStyle w:val="SSCbullet"/>
              <w:numPr>
                <w:ilvl w:val="0"/>
                <w:numId w:val="1"/>
              </w:numPr>
              <w:tabs>
                <w:tab w:val="clear" w:pos="567"/>
              </w:tabs>
              <w:spacing w:after="0" w:line="276" w:lineRule="auto"/>
              <w:ind w:left="457" w:hanging="284"/>
              <w:rPr>
                <w:rFonts w:ascii="Source Sans Pro" w:hAnsi="Source Sans Pro" w:cstheme="minorHAnsi"/>
              </w:rPr>
            </w:pPr>
            <w:r w:rsidRPr="0042169F">
              <w:rPr>
                <w:rFonts w:ascii="Source Sans Pro" w:hAnsi="Source Sans Pro" w:cstheme="minorHAnsi"/>
              </w:rPr>
              <w:t>Otherwise complying with the Home Agency’s obligations under this agreement.</w:t>
            </w:r>
          </w:p>
        </w:tc>
        <w:tc>
          <w:tcPr>
            <w:tcW w:w="3888" w:type="dxa"/>
          </w:tcPr>
          <w:p w14:paraId="61FF8BC3" w14:textId="77777777" w:rsidR="0042169F" w:rsidRDefault="0042169F" w:rsidP="0072233E">
            <w:pPr>
              <w:pStyle w:val="ListParagraph"/>
              <w:numPr>
                <w:ilvl w:val="0"/>
                <w:numId w:val="1"/>
              </w:numPr>
              <w:spacing w:line="276" w:lineRule="auto"/>
              <w:ind w:left="464" w:hanging="283"/>
              <w:rPr>
                <w:rFonts w:ascii="Source Sans Pro" w:hAnsi="Source Sans Pro"/>
                <w:sz w:val="24"/>
                <w:szCs w:val="24"/>
              </w:rPr>
            </w:pPr>
            <w:r w:rsidRPr="0042169F">
              <w:rPr>
                <w:rFonts w:ascii="Source Sans Pro" w:hAnsi="Source Sans Pro"/>
                <w:sz w:val="24"/>
                <w:szCs w:val="24"/>
              </w:rPr>
              <w:lastRenderedPageBreak/>
              <w:t>Carrying out duties set and developing any capabilities set out in Attachment A.</w:t>
            </w:r>
          </w:p>
          <w:p w14:paraId="5A9433AF" w14:textId="77777777" w:rsidR="00FF5BA8" w:rsidRPr="0042169F" w:rsidRDefault="00FF5BA8" w:rsidP="00FF5BA8">
            <w:pPr>
              <w:pStyle w:val="ListParagraph"/>
              <w:spacing w:line="276" w:lineRule="auto"/>
              <w:ind w:left="464"/>
              <w:rPr>
                <w:rFonts w:ascii="Source Sans Pro" w:hAnsi="Source Sans Pro"/>
                <w:sz w:val="24"/>
                <w:szCs w:val="24"/>
              </w:rPr>
            </w:pPr>
          </w:p>
          <w:p w14:paraId="23A1A3AA" w14:textId="77777777" w:rsidR="0042169F" w:rsidRDefault="0042169F" w:rsidP="0072233E">
            <w:pPr>
              <w:pStyle w:val="SSCbullet"/>
              <w:numPr>
                <w:ilvl w:val="0"/>
                <w:numId w:val="1"/>
              </w:numPr>
              <w:tabs>
                <w:tab w:val="clear" w:pos="567"/>
              </w:tabs>
              <w:spacing w:after="0" w:line="276" w:lineRule="auto"/>
              <w:ind w:left="464" w:hanging="283"/>
              <w:rPr>
                <w:rFonts w:ascii="Source Sans Pro" w:hAnsi="Source Sans Pro" w:cstheme="minorHAnsi"/>
              </w:rPr>
            </w:pPr>
            <w:r w:rsidRPr="0042169F">
              <w:rPr>
                <w:rFonts w:ascii="Source Sans Pro" w:hAnsi="Source Sans Pro" w:cstheme="minorHAnsi"/>
              </w:rPr>
              <w:t>Maintaining their relationship with the Home Agency by meeting the Home Manager as required.</w:t>
            </w:r>
          </w:p>
          <w:p w14:paraId="7CAF691D" w14:textId="77777777" w:rsidR="00FF5BA8" w:rsidRDefault="00FF5BA8" w:rsidP="00FF5BA8">
            <w:pPr>
              <w:pStyle w:val="ListParagraph"/>
              <w:rPr>
                <w:rFonts w:ascii="Source Sans Pro" w:hAnsi="Source Sans Pro" w:cstheme="minorHAnsi"/>
              </w:rPr>
            </w:pPr>
          </w:p>
          <w:p w14:paraId="5DBB7CCB" w14:textId="77777777" w:rsidR="00FF5BA8" w:rsidRPr="0042169F" w:rsidRDefault="00FF5BA8" w:rsidP="00FF5BA8">
            <w:pPr>
              <w:pStyle w:val="SSCbullet"/>
              <w:tabs>
                <w:tab w:val="clear" w:pos="567"/>
              </w:tabs>
              <w:spacing w:after="0" w:line="276" w:lineRule="auto"/>
              <w:ind w:left="464" w:firstLine="0"/>
              <w:rPr>
                <w:rFonts w:ascii="Source Sans Pro" w:hAnsi="Source Sans Pro" w:cstheme="minorHAnsi"/>
              </w:rPr>
            </w:pPr>
          </w:p>
          <w:p w14:paraId="0B1072D9" w14:textId="77777777" w:rsidR="0042169F" w:rsidRPr="0042169F" w:rsidRDefault="0042169F" w:rsidP="0072233E">
            <w:pPr>
              <w:pStyle w:val="SSCbullet"/>
              <w:numPr>
                <w:ilvl w:val="0"/>
                <w:numId w:val="1"/>
              </w:numPr>
              <w:tabs>
                <w:tab w:val="clear" w:pos="567"/>
              </w:tabs>
              <w:spacing w:after="0" w:line="276" w:lineRule="auto"/>
              <w:ind w:left="464" w:hanging="283"/>
              <w:rPr>
                <w:rFonts w:ascii="Source Sans Pro" w:hAnsi="Source Sans Pro" w:cstheme="minorHAnsi"/>
              </w:rPr>
            </w:pPr>
            <w:r w:rsidRPr="0042169F">
              <w:rPr>
                <w:rFonts w:ascii="Source Sans Pro" w:hAnsi="Source Sans Pro" w:cstheme="minorHAnsi"/>
              </w:rPr>
              <w:t>Otherwise complying with the Secondee’s obligations under this agreement.</w:t>
            </w:r>
          </w:p>
          <w:p w14:paraId="1112AA41" w14:textId="77777777" w:rsidR="0042169F" w:rsidRPr="0042169F" w:rsidRDefault="0042169F" w:rsidP="009E477B">
            <w:pPr>
              <w:rPr>
                <w:rFonts w:ascii="Source Sans Pro" w:hAnsi="Source Sans Pro"/>
                <w:sz w:val="24"/>
                <w:szCs w:val="24"/>
              </w:rPr>
            </w:pPr>
          </w:p>
        </w:tc>
      </w:tr>
      <w:tr w:rsidR="001919ED" w:rsidRPr="0042169F" w14:paraId="77BF6165" w14:textId="77777777" w:rsidTr="007F58A7">
        <w:tc>
          <w:tcPr>
            <w:tcW w:w="1691" w:type="dxa"/>
          </w:tcPr>
          <w:p w14:paraId="4C632850" w14:textId="77777777" w:rsidR="0042169F" w:rsidRPr="001919ED" w:rsidRDefault="0042169F" w:rsidP="009E477B">
            <w:pPr>
              <w:rPr>
                <w:rFonts w:ascii="Source Sans Pro" w:hAnsi="Source Sans Pro"/>
                <w:b/>
                <w:bCs/>
                <w:sz w:val="26"/>
                <w:szCs w:val="26"/>
              </w:rPr>
            </w:pPr>
            <w:r w:rsidRPr="001919ED">
              <w:rPr>
                <w:rFonts w:ascii="Source Sans Pro" w:hAnsi="Source Sans Pro"/>
                <w:b/>
                <w:bCs/>
                <w:sz w:val="26"/>
                <w:szCs w:val="26"/>
              </w:rPr>
              <w:lastRenderedPageBreak/>
              <w:t>Health and Safety</w:t>
            </w:r>
          </w:p>
        </w:tc>
        <w:tc>
          <w:tcPr>
            <w:tcW w:w="3698" w:type="dxa"/>
          </w:tcPr>
          <w:p w14:paraId="130E54A4" w14:textId="77777777" w:rsidR="0042169F" w:rsidRDefault="0042169F" w:rsidP="00330C70">
            <w:pPr>
              <w:pStyle w:val="ListParagraph"/>
              <w:numPr>
                <w:ilvl w:val="0"/>
                <w:numId w:val="1"/>
              </w:numPr>
              <w:spacing w:line="276" w:lineRule="auto"/>
              <w:ind w:left="439" w:hanging="283"/>
              <w:jc w:val="both"/>
              <w:rPr>
                <w:rFonts w:ascii="Source Sans Pro" w:hAnsi="Source Sans Pro"/>
                <w:sz w:val="24"/>
                <w:szCs w:val="24"/>
              </w:rPr>
            </w:pPr>
            <w:r w:rsidRPr="0042169F">
              <w:rPr>
                <w:rFonts w:ascii="Source Sans Pro" w:hAnsi="Source Sans Pro"/>
                <w:sz w:val="24"/>
                <w:szCs w:val="24"/>
              </w:rPr>
              <w:t>Providing a safe and healthy working environment in accordance with the Health and Safety at Work Act 2015.</w:t>
            </w:r>
          </w:p>
          <w:p w14:paraId="309FB7C8" w14:textId="77777777" w:rsidR="00FF5BA8" w:rsidRPr="0042169F" w:rsidRDefault="00FF5BA8" w:rsidP="00FF5BA8">
            <w:pPr>
              <w:pStyle w:val="ListParagraph"/>
              <w:spacing w:line="276" w:lineRule="auto"/>
              <w:ind w:left="439"/>
              <w:jc w:val="both"/>
              <w:rPr>
                <w:rFonts w:ascii="Source Sans Pro" w:hAnsi="Source Sans Pro"/>
                <w:sz w:val="24"/>
                <w:szCs w:val="24"/>
              </w:rPr>
            </w:pPr>
          </w:p>
          <w:p w14:paraId="27D1C74F" w14:textId="77777777" w:rsidR="0042169F" w:rsidRDefault="0042169F" w:rsidP="00330C70">
            <w:pPr>
              <w:pStyle w:val="ListParagraph"/>
              <w:numPr>
                <w:ilvl w:val="0"/>
                <w:numId w:val="1"/>
              </w:numPr>
              <w:spacing w:line="276" w:lineRule="auto"/>
              <w:ind w:left="439" w:hanging="283"/>
              <w:jc w:val="both"/>
              <w:rPr>
                <w:rFonts w:ascii="Source Sans Pro" w:hAnsi="Source Sans Pro"/>
                <w:sz w:val="24"/>
                <w:szCs w:val="24"/>
              </w:rPr>
            </w:pPr>
            <w:r w:rsidRPr="0042169F">
              <w:rPr>
                <w:rFonts w:ascii="Source Sans Pro" w:hAnsi="Source Sans Pro"/>
                <w:sz w:val="24"/>
                <w:szCs w:val="24"/>
              </w:rPr>
              <w:t>Working with the Home Agency to provide a supportive environment for the Secondee.</w:t>
            </w:r>
          </w:p>
          <w:p w14:paraId="044B733D" w14:textId="77777777" w:rsidR="00FF5BA8" w:rsidRPr="00FF5BA8" w:rsidRDefault="00FF5BA8" w:rsidP="00FF5BA8">
            <w:pPr>
              <w:pStyle w:val="ListParagraph"/>
              <w:rPr>
                <w:rFonts w:ascii="Source Sans Pro" w:hAnsi="Source Sans Pro"/>
                <w:sz w:val="24"/>
                <w:szCs w:val="24"/>
              </w:rPr>
            </w:pPr>
          </w:p>
          <w:p w14:paraId="7447DF39" w14:textId="77777777" w:rsidR="00FF5BA8" w:rsidRPr="0042169F" w:rsidRDefault="00FF5BA8" w:rsidP="00FF5BA8">
            <w:pPr>
              <w:pStyle w:val="ListParagraph"/>
              <w:spacing w:line="276" w:lineRule="auto"/>
              <w:ind w:left="439"/>
              <w:jc w:val="both"/>
              <w:rPr>
                <w:rFonts w:ascii="Source Sans Pro" w:hAnsi="Source Sans Pro"/>
                <w:sz w:val="24"/>
                <w:szCs w:val="24"/>
              </w:rPr>
            </w:pPr>
          </w:p>
          <w:p w14:paraId="35D7F03A" w14:textId="77777777" w:rsidR="0042169F" w:rsidRDefault="0042169F" w:rsidP="00330C70">
            <w:pPr>
              <w:pStyle w:val="ListParagraph"/>
              <w:numPr>
                <w:ilvl w:val="0"/>
                <w:numId w:val="1"/>
              </w:numPr>
              <w:spacing w:line="276" w:lineRule="auto"/>
              <w:ind w:left="439" w:hanging="283"/>
              <w:jc w:val="both"/>
              <w:rPr>
                <w:rFonts w:ascii="Source Sans Pro" w:hAnsi="Source Sans Pro"/>
                <w:sz w:val="24"/>
                <w:szCs w:val="24"/>
              </w:rPr>
            </w:pPr>
            <w:r w:rsidRPr="0042169F">
              <w:rPr>
                <w:rFonts w:ascii="Source Sans Pro" w:hAnsi="Source Sans Pro"/>
                <w:sz w:val="24"/>
                <w:szCs w:val="24"/>
              </w:rPr>
              <w:t>Discussing any concerns or difficulties related to the Secondment with the Secondee and the Home Agency as soon as they arise, in the first instance with the Secondee and the home manager of the Secondee.</w:t>
            </w:r>
          </w:p>
          <w:p w14:paraId="0816C1E9" w14:textId="77777777" w:rsidR="00FF5BA8" w:rsidRPr="0042169F" w:rsidRDefault="00FF5BA8" w:rsidP="00FF5BA8">
            <w:pPr>
              <w:pStyle w:val="ListParagraph"/>
              <w:spacing w:line="276" w:lineRule="auto"/>
              <w:ind w:left="439"/>
              <w:jc w:val="both"/>
              <w:rPr>
                <w:rFonts w:ascii="Source Sans Pro" w:hAnsi="Source Sans Pro"/>
                <w:sz w:val="24"/>
                <w:szCs w:val="24"/>
              </w:rPr>
            </w:pPr>
          </w:p>
          <w:p w14:paraId="3DB222E8" w14:textId="77777777" w:rsidR="0042169F" w:rsidRDefault="0042169F" w:rsidP="00330C70">
            <w:pPr>
              <w:pStyle w:val="ListParagraph"/>
              <w:numPr>
                <w:ilvl w:val="0"/>
                <w:numId w:val="1"/>
              </w:numPr>
              <w:spacing w:line="276" w:lineRule="auto"/>
              <w:ind w:left="439" w:hanging="283"/>
              <w:jc w:val="both"/>
              <w:rPr>
                <w:rFonts w:ascii="Source Sans Pro" w:hAnsi="Source Sans Pro"/>
                <w:sz w:val="24"/>
                <w:szCs w:val="24"/>
              </w:rPr>
            </w:pPr>
            <w:r w:rsidRPr="0042169F">
              <w:rPr>
                <w:rFonts w:ascii="Source Sans Pro" w:hAnsi="Source Sans Pro"/>
                <w:sz w:val="24"/>
                <w:szCs w:val="24"/>
              </w:rPr>
              <w:lastRenderedPageBreak/>
              <w:t xml:space="preserve">Consulting, </w:t>
            </w:r>
            <w:proofErr w:type="gramStart"/>
            <w:r w:rsidRPr="0042169F">
              <w:rPr>
                <w:rFonts w:ascii="Source Sans Pro" w:hAnsi="Source Sans Pro"/>
                <w:sz w:val="24"/>
                <w:szCs w:val="24"/>
              </w:rPr>
              <w:t>cooperating</w:t>
            </w:r>
            <w:proofErr w:type="gramEnd"/>
            <w:r w:rsidRPr="0042169F">
              <w:rPr>
                <w:rFonts w:ascii="Source Sans Pro" w:hAnsi="Source Sans Pro"/>
                <w:sz w:val="24"/>
                <w:szCs w:val="24"/>
              </w:rPr>
              <w:t xml:space="preserve"> and coordinating with the home agency to manage risks to the Secondee.</w:t>
            </w:r>
          </w:p>
          <w:p w14:paraId="125B558E" w14:textId="77777777" w:rsidR="00593FBD" w:rsidRPr="00593FBD" w:rsidRDefault="00593FBD" w:rsidP="00593FBD">
            <w:pPr>
              <w:pStyle w:val="ListParagraph"/>
              <w:rPr>
                <w:rFonts w:ascii="Source Sans Pro" w:hAnsi="Source Sans Pro"/>
                <w:sz w:val="24"/>
                <w:szCs w:val="24"/>
              </w:rPr>
            </w:pPr>
          </w:p>
          <w:p w14:paraId="32BCDC47" w14:textId="77777777" w:rsidR="00593FBD" w:rsidRPr="00593FBD" w:rsidRDefault="00593FBD" w:rsidP="00593FBD">
            <w:pPr>
              <w:spacing w:line="276" w:lineRule="auto"/>
              <w:jc w:val="both"/>
              <w:rPr>
                <w:rFonts w:ascii="Source Sans Pro" w:hAnsi="Source Sans Pro"/>
                <w:sz w:val="24"/>
                <w:szCs w:val="24"/>
              </w:rPr>
            </w:pPr>
          </w:p>
          <w:p w14:paraId="3827A255" w14:textId="77777777" w:rsidR="001919ED" w:rsidRPr="0042169F" w:rsidRDefault="001919ED" w:rsidP="001919ED">
            <w:pPr>
              <w:pStyle w:val="ListParagraph"/>
              <w:spacing w:line="276" w:lineRule="auto"/>
              <w:ind w:left="439"/>
              <w:jc w:val="both"/>
              <w:rPr>
                <w:rFonts w:ascii="Source Sans Pro" w:hAnsi="Source Sans Pro"/>
                <w:sz w:val="24"/>
                <w:szCs w:val="24"/>
              </w:rPr>
            </w:pPr>
          </w:p>
        </w:tc>
        <w:tc>
          <w:tcPr>
            <w:tcW w:w="4311" w:type="dxa"/>
          </w:tcPr>
          <w:p w14:paraId="638B78BC" w14:textId="77777777" w:rsidR="0042169F" w:rsidRPr="0042169F" w:rsidRDefault="0042169F" w:rsidP="00330C70">
            <w:pPr>
              <w:pStyle w:val="ListParagraph"/>
              <w:numPr>
                <w:ilvl w:val="0"/>
                <w:numId w:val="1"/>
              </w:numPr>
              <w:spacing w:line="276" w:lineRule="auto"/>
              <w:ind w:left="457" w:hanging="284"/>
              <w:jc w:val="both"/>
              <w:rPr>
                <w:rFonts w:ascii="Source Sans Pro" w:hAnsi="Source Sans Pro"/>
                <w:sz w:val="24"/>
                <w:szCs w:val="24"/>
              </w:rPr>
            </w:pPr>
            <w:r w:rsidRPr="0042169F">
              <w:rPr>
                <w:rFonts w:ascii="Source Sans Pro" w:hAnsi="Source Sans Pro"/>
                <w:sz w:val="24"/>
                <w:szCs w:val="24"/>
              </w:rPr>
              <w:lastRenderedPageBreak/>
              <w:t>Maintaining regular check-ins with the Secondee to discuss and ensure wellbeing and health and safety of Secondee.</w:t>
            </w:r>
          </w:p>
        </w:tc>
        <w:tc>
          <w:tcPr>
            <w:tcW w:w="3888" w:type="dxa"/>
          </w:tcPr>
          <w:p w14:paraId="78A3A6AD" w14:textId="77777777" w:rsidR="0042169F" w:rsidRDefault="0042169F" w:rsidP="00330C70">
            <w:pPr>
              <w:pStyle w:val="ListParagraph"/>
              <w:numPr>
                <w:ilvl w:val="0"/>
                <w:numId w:val="1"/>
              </w:numPr>
              <w:spacing w:line="276" w:lineRule="auto"/>
              <w:ind w:left="464" w:hanging="283"/>
              <w:jc w:val="both"/>
              <w:rPr>
                <w:rFonts w:ascii="Source Sans Pro" w:hAnsi="Source Sans Pro"/>
                <w:sz w:val="24"/>
                <w:szCs w:val="24"/>
              </w:rPr>
            </w:pPr>
            <w:r w:rsidRPr="0042169F">
              <w:rPr>
                <w:rFonts w:ascii="Source Sans Pro" w:hAnsi="Source Sans Pro"/>
                <w:sz w:val="24"/>
                <w:szCs w:val="24"/>
              </w:rPr>
              <w:t xml:space="preserve">Complying with their obligations arising from Health and Safety at Work Act 2015. </w:t>
            </w:r>
          </w:p>
          <w:p w14:paraId="582CB8DB" w14:textId="77777777" w:rsidR="00FF5BA8" w:rsidRPr="0042169F" w:rsidRDefault="00FF5BA8" w:rsidP="00FF5BA8">
            <w:pPr>
              <w:pStyle w:val="ListParagraph"/>
              <w:spacing w:line="276" w:lineRule="auto"/>
              <w:ind w:left="464"/>
              <w:jc w:val="both"/>
              <w:rPr>
                <w:rFonts w:ascii="Source Sans Pro" w:hAnsi="Source Sans Pro"/>
                <w:sz w:val="24"/>
                <w:szCs w:val="24"/>
              </w:rPr>
            </w:pPr>
          </w:p>
          <w:p w14:paraId="393E27A5" w14:textId="77777777" w:rsidR="0042169F" w:rsidRPr="0042169F" w:rsidRDefault="0042169F" w:rsidP="00330C70">
            <w:pPr>
              <w:pStyle w:val="ListParagraph"/>
              <w:numPr>
                <w:ilvl w:val="0"/>
                <w:numId w:val="1"/>
              </w:numPr>
              <w:spacing w:line="276" w:lineRule="auto"/>
              <w:ind w:left="464" w:hanging="283"/>
              <w:jc w:val="both"/>
              <w:rPr>
                <w:rFonts w:ascii="Source Sans Pro" w:hAnsi="Source Sans Pro"/>
                <w:sz w:val="24"/>
                <w:szCs w:val="24"/>
              </w:rPr>
            </w:pPr>
            <w:r w:rsidRPr="0042169F">
              <w:rPr>
                <w:rFonts w:ascii="Source Sans Pro" w:hAnsi="Source Sans Pro"/>
                <w:sz w:val="24"/>
                <w:szCs w:val="24"/>
              </w:rPr>
              <w:t>Taking appropriate steps to ensure their own health and safety and to avoid harm to others, including bringing any health and safety issues in the workplace to the host agency’s attention as per the process agreed between the Host and Home Agencies.</w:t>
            </w:r>
          </w:p>
          <w:p w14:paraId="2083B4E4" w14:textId="77777777" w:rsidR="0042169F" w:rsidRPr="0042169F" w:rsidRDefault="0042169F" w:rsidP="00330C70">
            <w:pPr>
              <w:spacing w:line="276" w:lineRule="auto"/>
              <w:ind w:left="360"/>
              <w:jc w:val="both"/>
              <w:rPr>
                <w:rFonts w:ascii="Source Sans Pro" w:hAnsi="Source Sans Pro"/>
                <w:sz w:val="24"/>
                <w:szCs w:val="24"/>
              </w:rPr>
            </w:pPr>
          </w:p>
        </w:tc>
      </w:tr>
      <w:tr w:rsidR="001919ED" w:rsidRPr="0042169F" w14:paraId="6E346597" w14:textId="77777777" w:rsidTr="007F58A7">
        <w:tc>
          <w:tcPr>
            <w:tcW w:w="1691" w:type="dxa"/>
          </w:tcPr>
          <w:p w14:paraId="04086657" w14:textId="77777777" w:rsidR="0042169F" w:rsidRPr="001919ED" w:rsidRDefault="0042169F" w:rsidP="009E477B">
            <w:pPr>
              <w:rPr>
                <w:rFonts w:ascii="Source Sans Pro" w:hAnsi="Source Sans Pro"/>
                <w:b/>
                <w:bCs/>
                <w:sz w:val="26"/>
                <w:szCs w:val="26"/>
              </w:rPr>
            </w:pPr>
            <w:r w:rsidRPr="001919ED">
              <w:rPr>
                <w:rFonts w:ascii="Source Sans Pro" w:hAnsi="Source Sans Pro"/>
                <w:b/>
                <w:bCs/>
                <w:sz w:val="26"/>
                <w:szCs w:val="26"/>
              </w:rPr>
              <w:t>Policies and procedures</w:t>
            </w:r>
          </w:p>
        </w:tc>
        <w:tc>
          <w:tcPr>
            <w:tcW w:w="3698" w:type="dxa"/>
          </w:tcPr>
          <w:p w14:paraId="5E3315A8" w14:textId="77777777" w:rsidR="0042169F" w:rsidRDefault="0042169F" w:rsidP="001919ED">
            <w:pPr>
              <w:pStyle w:val="ListParagraph"/>
              <w:numPr>
                <w:ilvl w:val="0"/>
                <w:numId w:val="1"/>
              </w:numPr>
              <w:spacing w:line="276" w:lineRule="auto"/>
              <w:ind w:left="439" w:hanging="283"/>
              <w:rPr>
                <w:rFonts w:ascii="Source Sans Pro" w:hAnsi="Source Sans Pro"/>
                <w:sz w:val="24"/>
                <w:szCs w:val="24"/>
              </w:rPr>
            </w:pPr>
            <w:r w:rsidRPr="0042169F">
              <w:rPr>
                <w:rFonts w:ascii="Source Sans Pro" w:hAnsi="Source Sans Pro"/>
                <w:sz w:val="24"/>
                <w:szCs w:val="24"/>
              </w:rPr>
              <w:t>Ensuring the Secondee is aware of the Host Agency’s applicable policies and procedures including those for speaking up about wrongdoing, including protected disclosures.</w:t>
            </w:r>
          </w:p>
          <w:p w14:paraId="514ADAD1" w14:textId="77777777" w:rsidR="001919ED" w:rsidRPr="0042169F" w:rsidRDefault="001919ED" w:rsidP="001919ED">
            <w:pPr>
              <w:pStyle w:val="ListParagraph"/>
              <w:spacing w:line="276" w:lineRule="auto"/>
              <w:ind w:left="439"/>
              <w:rPr>
                <w:rFonts w:ascii="Source Sans Pro" w:hAnsi="Source Sans Pro"/>
                <w:sz w:val="24"/>
                <w:szCs w:val="24"/>
              </w:rPr>
            </w:pPr>
          </w:p>
        </w:tc>
        <w:tc>
          <w:tcPr>
            <w:tcW w:w="4311" w:type="dxa"/>
          </w:tcPr>
          <w:p w14:paraId="3FB95B25" w14:textId="77777777" w:rsidR="0042169F" w:rsidRPr="0042169F" w:rsidRDefault="0042169F" w:rsidP="001919ED">
            <w:pPr>
              <w:spacing w:line="276" w:lineRule="auto"/>
              <w:rPr>
                <w:rFonts w:ascii="Source Sans Pro" w:hAnsi="Source Sans Pro"/>
                <w:sz w:val="24"/>
                <w:szCs w:val="24"/>
              </w:rPr>
            </w:pPr>
          </w:p>
        </w:tc>
        <w:tc>
          <w:tcPr>
            <w:tcW w:w="3888" w:type="dxa"/>
          </w:tcPr>
          <w:p w14:paraId="44EA5E67" w14:textId="77777777" w:rsidR="0042169F" w:rsidRPr="0042169F" w:rsidRDefault="0042169F" w:rsidP="001919ED">
            <w:pPr>
              <w:pStyle w:val="ListParagraph"/>
              <w:numPr>
                <w:ilvl w:val="0"/>
                <w:numId w:val="1"/>
              </w:numPr>
              <w:spacing w:line="276" w:lineRule="auto"/>
              <w:ind w:left="464" w:hanging="283"/>
              <w:rPr>
                <w:rFonts w:ascii="Source Sans Pro" w:hAnsi="Source Sans Pro"/>
                <w:sz w:val="24"/>
                <w:szCs w:val="24"/>
              </w:rPr>
            </w:pPr>
            <w:r w:rsidRPr="0042169F">
              <w:rPr>
                <w:rFonts w:ascii="Source Sans Pro" w:hAnsi="Source Sans Pro"/>
                <w:sz w:val="24"/>
                <w:szCs w:val="24"/>
              </w:rPr>
              <w:t>Abiding by Home, Host Agency and Public Service Codes of Conduct, and internal policies and procedures as they apply.</w:t>
            </w:r>
          </w:p>
        </w:tc>
      </w:tr>
      <w:tr w:rsidR="001919ED" w:rsidRPr="0042169F" w14:paraId="3C827045" w14:textId="77777777" w:rsidTr="007F58A7">
        <w:tc>
          <w:tcPr>
            <w:tcW w:w="1691" w:type="dxa"/>
          </w:tcPr>
          <w:p w14:paraId="6B2A3954" w14:textId="77777777" w:rsidR="0042169F" w:rsidRPr="001919ED" w:rsidRDefault="0042169F" w:rsidP="009E477B">
            <w:pPr>
              <w:rPr>
                <w:rFonts w:ascii="Source Sans Pro" w:hAnsi="Source Sans Pro"/>
                <w:b/>
                <w:bCs/>
                <w:sz w:val="26"/>
                <w:szCs w:val="26"/>
              </w:rPr>
            </w:pPr>
            <w:r w:rsidRPr="001919ED">
              <w:rPr>
                <w:rFonts w:ascii="Source Sans Pro" w:hAnsi="Source Sans Pro"/>
                <w:b/>
                <w:bCs/>
                <w:sz w:val="26"/>
                <w:szCs w:val="26"/>
              </w:rPr>
              <w:t>Employment Relations</w:t>
            </w:r>
          </w:p>
        </w:tc>
        <w:tc>
          <w:tcPr>
            <w:tcW w:w="3698" w:type="dxa"/>
          </w:tcPr>
          <w:p w14:paraId="4DE645DF" w14:textId="77777777" w:rsidR="0042169F" w:rsidRPr="0042169F" w:rsidRDefault="0042169F" w:rsidP="001919ED">
            <w:pPr>
              <w:pStyle w:val="ListParagraph"/>
              <w:numPr>
                <w:ilvl w:val="0"/>
                <w:numId w:val="1"/>
              </w:numPr>
              <w:spacing w:line="276" w:lineRule="auto"/>
              <w:ind w:left="439" w:hanging="283"/>
              <w:rPr>
                <w:rFonts w:ascii="Source Sans Pro" w:hAnsi="Source Sans Pro"/>
                <w:sz w:val="24"/>
                <w:szCs w:val="24"/>
              </w:rPr>
            </w:pPr>
            <w:r w:rsidRPr="0042169F">
              <w:rPr>
                <w:rFonts w:ascii="Source Sans Pro" w:hAnsi="Source Sans Pro"/>
                <w:sz w:val="24"/>
                <w:szCs w:val="24"/>
              </w:rPr>
              <w:t xml:space="preserve">Escalating any employment relations issues to the </w:t>
            </w:r>
            <w:proofErr w:type="gramStart"/>
            <w:r w:rsidRPr="0042169F">
              <w:rPr>
                <w:rFonts w:ascii="Source Sans Pro" w:hAnsi="Source Sans Pro"/>
                <w:sz w:val="24"/>
                <w:szCs w:val="24"/>
              </w:rPr>
              <w:t>Home</w:t>
            </w:r>
            <w:proofErr w:type="gramEnd"/>
            <w:r w:rsidRPr="0042169F">
              <w:rPr>
                <w:rFonts w:ascii="Source Sans Pro" w:hAnsi="Source Sans Pro"/>
                <w:sz w:val="24"/>
                <w:szCs w:val="24"/>
              </w:rPr>
              <w:t xml:space="preserve"> Agency contact.</w:t>
            </w:r>
          </w:p>
        </w:tc>
        <w:tc>
          <w:tcPr>
            <w:tcW w:w="4311" w:type="dxa"/>
          </w:tcPr>
          <w:p w14:paraId="34D2726B" w14:textId="77777777" w:rsidR="0042169F" w:rsidRDefault="0042169F" w:rsidP="001919ED">
            <w:pPr>
              <w:pStyle w:val="ListParagraph"/>
              <w:numPr>
                <w:ilvl w:val="0"/>
                <w:numId w:val="1"/>
              </w:numPr>
              <w:spacing w:line="276" w:lineRule="auto"/>
              <w:rPr>
                <w:rFonts w:ascii="Source Sans Pro" w:hAnsi="Source Sans Pro"/>
                <w:sz w:val="24"/>
                <w:szCs w:val="24"/>
              </w:rPr>
            </w:pPr>
            <w:r w:rsidRPr="0042169F">
              <w:rPr>
                <w:rFonts w:ascii="Source Sans Pro" w:hAnsi="Source Sans Pro"/>
                <w:sz w:val="24"/>
                <w:szCs w:val="24"/>
              </w:rPr>
              <w:t xml:space="preserve">Co-operating with any investigations conducted by the Home Agency in relation to complaints or issues concerning the Secondee that may arise </w:t>
            </w:r>
            <w:r w:rsidRPr="0042169F">
              <w:rPr>
                <w:rFonts w:ascii="Source Sans Pro" w:hAnsi="Source Sans Pro"/>
                <w:sz w:val="24"/>
                <w:szCs w:val="24"/>
              </w:rPr>
              <w:lastRenderedPageBreak/>
              <w:t>during or in relation to the Secondment.</w:t>
            </w:r>
          </w:p>
          <w:p w14:paraId="16136DAE" w14:textId="77777777" w:rsidR="00FC27D7" w:rsidRPr="0042169F" w:rsidRDefault="00FC27D7" w:rsidP="00FC27D7">
            <w:pPr>
              <w:pStyle w:val="ListParagraph"/>
              <w:spacing w:line="276" w:lineRule="auto"/>
              <w:rPr>
                <w:rFonts w:ascii="Source Sans Pro" w:hAnsi="Source Sans Pro"/>
                <w:sz w:val="24"/>
                <w:szCs w:val="24"/>
              </w:rPr>
            </w:pPr>
          </w:p>
        </w:tc>
        <w:tc>
          <w:tcPr>
            <w:tcW w:w="3888" w:type="dxa"/>
          </w:tcPr>
          <w:p w14:paraId="026374BF" w14:textId="77777777" w:rsidR="0042169F" w:rsidRPr="0042169F" w:rsidRDefault="0042169F" w:rsidP="009E477B">
            <w:pPr>
              <w:rPr>
                <w:rFonts w:ascii="Source Sans Pro" w:hAnsi="Source Sans Pro"/>
                <w:sz w:val="24"/>
                <w:szCs w:val="24"/>
              </w:rPr>
            </w:pPr>
          </w:p>
        </w:tc>
      </w:tr>
      <w:tr w:rsidR="001919ED" w:rsidRPr="0042169F" w14:paraId="6C13CB72" w14:textId="77777777" w:rsidTr="007F58A7">
        <w:tc>
          <w:tcPr>
            <w:tcW w:w="1691" w:type="dxa"/>
          </w:tcPr>
          <w:p w14:paraId="7319D956" w14:textId="77777777" w:rsidR="0042169F" w:rsidRPr="00FC27D7" w:rsidRDefault="0042169F" w:rsidP="009E477B">
            <w:pPr>
              <w:rPr>
                <w:rFonts w:ascii="Source Sans Pro" w:hAnsi="Source Sans Pro"/>
                <w:b/>
                <w:bCs/>
                <w:sz w:val="26"/>
                <w:szCs w:val="26"/>
              </w:rPr>
            </w:pPr>
            <w:r w:rsidRPr="00FC27D7">
              <w:rPr>
                <w:rFonts w:ascii="Source Sans Pro" w:hAnsi="Source Sans Pro"/>
                <w:b/>
                <w:bCs/>
                <w:sz w:val="26"/>
                <w:szCs w:val="26"/>
              </w:rPr>
              <w:t>Performance</w:t>
            </w:r>
          </w:p>
        </w:tc>
        <w:tc>
          <w:tcPr>
            <w:tcW w:w="3698" w:type="dxa"/>
          </w:tcPr>
          <w:p w14:paraId="41B3BA05" w14:textId="77777777" w:rsidR="0042169F" w:rsidRDefault="0042169F" w:rsidP="00FC27D7">
            <w:pPr>
              <w:pStyle w:val="ListParagraph"/>
              <w:numPr>
                <w:ilvl w:val="0"/>
                <w:numId w:val="1"/>
              </w:numPr>
              <w:spacing w:line="276" w:lineRule="auto"/>
              <w:ind w:left="439" w:hanging="283"/>
              <w:rPr>
                <w:rFonts w:ascii="Source Sans Pro" w:hAnsi="Source Sans Pro"/>
                <w:sz w:val="24"/>
                <w:szCs w:val="24"/>
              </w:rPr>
            </w:pPr>
            <w:r w:rsidRPr="0042169F">
              <w:rPr>
                <w:rFonts w:ascii="Source Sans Pro" w:hAnsi="Source Sans Pro"/>
                <w:sz w:val="24"/>
                <w:szCs w:val="24"/>
              </w:rPr>
              <w:t>Agreeing with the Secondee clear performance expectations and processes for performance feedback to the Secondee and the Home Manager and for recording and assessing the Secondee’s development.</w:t>
            </w:r>
          </w:p>
          <w:p w14:paraId="40ED6CFA" w14:textId="77777777" w:rsidR="00593FBD" w:rsidRPr="0042169F" w:rsidRDefault="00593FBD" w:rsidP="00593FBD">
            <w:pPr>
              <w:pStyle w:val="ListParagraph"/>
              <w:spacing w:line="276" w:lineRule="auto"/>
              <w:ind w:left="439"/>
              <w:rPr>
                <w:rFonts w:ascii="Source Sans Pro" w:hAnsi="Source Sans Pro"/>
                <w:sz w:val="24"/>
                <w:szCs w:val="24"/>
              </w:rPr>
            </w:pPr>
          </w:p>
          <w:p w14:paraId="26F41C5F" w14:textId="77777777" w:rsidR="0042169F" w:rsidRPr="0042169F" w:rsidRDefault="0042169F" w:rsidP="00FC27D7">
            <w:pPr>
              <w:pStyle w:val="ListParagraph"/>
              <w:numPr>
                <w:ilvl w:val="0"/>
                <w:numId w:val="1"/>
              </w:numPr>
              <w:spacing w:line="276" w:lineRule="auto"/>
              <w:ind w:left="439" w:hanging="283"/>
              <w:rPr>
                <w:rFonts w:ascii="Source Sans Pro" w:hAnsi="Source Sans Pro"/>
                <w:sz w:val="24"/>
                <w:szCs w:val="24"/>
              </w:rPr>
            </w:pPr>
            <w:r w:rsidRPr="0042169F">
              <w:rPr>
                <w:rFonts w:ascii="Source Sans Pro" w:hAnsi="Source Sans Pro"/>
                <w:sz w:val="24"/>
                <w:szCs w:val="24"/>
              </w:rPr>
              <w:t xml:space="preserve">Agreeing to provide briefings for Home Agency on the Secondee’s performance and progress during the Secondment. </w:t>
            </w:r>
          </w:p>
        </w:tc>
        <w:tc>
          <w:tcPr>
            <w:tcW w:w="4311" w:type="dxa"/>
          </w:tcPr>
          <w:p w14:paraId="7DF13815" w14:textId="77777777" w:rsidR="0042169F" w:rsidRPr="0042169F" w:rsidRDefault="0042169F" w:rsidP="00FF5BA8">
            <w:pPr>
              <w:pStyle w:val="ListParagraph"/>
              <w:numPr>
                <w:ilvl w:val="0"/>
                <w:numId w:val="1"/>
              </w:numPr>
              <w:spacing w:line="276" w:lineRule="auto"/>
              <w:rPr>
                <w:rFonts w:ascii="Source Sans Pro" w:hAnsi="Source Sans Pro"/>
                <w:sz w:val="24"/>
                <w:szCs w:val="24"/>
              </w:rPr>
            </w:pPr>
            <w:r w:rsidRPr="0042169F">
              <w:rPr>
                <w:rFonts w:ascii="Source Sans Pro" w:hAnsi="Source Sans Pro"/>
                <w:sz w:val="24"/>
                <w:szCs w:val="24"/>
              </w:rPr>
              <w:t>Agreeing a plan with the Secondee and host agency on how performance will be assessed/development progressed during the Secondment.</w:t>
            </w:r>
          </w:p>
          <w:p w14:paraId="2A017A16" w14:textId="77777777" w:rsidR="0042169F" w:rsidRPr="0042169F" w:rsidRDefault="0042169F" w:rsidP="00FC27D7">
            <w:pPr>
              <w:spacing w:line="276" w:lineRule="auto"/>
              <w:rPr>
                <w:rFonts w:ascii="Source Sans Pro" w:hAnsi="Source Sans Pro"/>
                <w:sz w:val="24"/>
                <w:szCs w:val="24"/>
              </w:rPr>
            </w:pPr>
          </w:p>
        </w:tc>
        <w:tc>
          <w:tcPr>
            <w:tcW w:w="3888" w:type="dxa"/>
          </w:tcPr>
          <w:p w14:paraId="15B56C98" w14:textId="77777777" w:rsidR="0042169F" w:rsidRPr="0042169F" w:rsidRDefault="0042169F" w:rsidP="009E477B">
            <w:pPr>
              <w:rPr>
                <w:rFonts w:ascii="Source Sans Pro" w:hAnsi="Source Sans Pro"/>
                <w:sz w:val="24"/>
                <w:szCs w:val="24"/>
              </w:rPr>
            </w:pPr>
          </w:p>
        </w:tc>
      </w:tr>
    </w:tbl>
    <w:p w14:paraId="23E007FC" w14:textId="77777777" w:rsidR="0042169F" w:rsidRDefault="0042169F"/>
    <w:sectPr w:rsidR="0042169F" w:rsidSect="006D41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panose1 w:val="020B0503030403020204"/>
    <w:charset w:val="00"/>
    <w:family w:val="swiss"/>
    <w:notTrueType/>
    <w:pitch w:val="variable"/>
    <w:sig w:usb0="600002F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D50"/>
    <w:multiLevelType w:val="hybridMultilevel"/>
    <w:tmpl w:val="678E3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F81419A"/>
    <w:multiLevelType w:val="hybridMultilevel"/>
    <w:tmpl w:val="BABC2D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71856604">
    <w:abstractNumId w:val="1"/>
  </w:num>
  <w:num w:numId="2" w16cid:durableId="1143737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9F"/>
    <w:rsid w:val="001919ED"/>
    <w:rsid w:val="00330C70"/>
    <w:rsid w:val="0042169F"/>
    <w:rsid w:val="004562BA"/>
    <w:rsid w:val="004A13A2"/>
    <w:rsid w:val="00572D38"/>
    <w:rsid w:val="00593FBD"/>
    <w:rsid w:val="006D41F0"/>
    <w:rsid w:val="006E2D95"/>
    <w:rsid w:val="0072233E"/>
    <w:rsid w:val="007F58A7"/>
    <w:rsid w:val="008D753A"/>
    <w:rsid w:val="00B64979"/>
    <w:rsid w:val="00FC27D7"/>
    <w:rsid w:val="00FF5B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C9DA"/>
  <w15:chartTrackingRefBased/>
  <w15:docId w15:val="{2F40CDCF-1D44-4301-AB86-1B198EE7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6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16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16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16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16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16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16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16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16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6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6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6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6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6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6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6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6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69F"/>
    <w:rPr>
      <w:rFonts w:eastAsiaTheme="majorEastAsia" w:cstheme="majorBidi"/>
      <w:color w:val="272727" w:themeColor="text1" w:themeTint="D8"/>
    </w:rPr>
  </w:style>
  <w:style w:type="paragraph" w:styleId="Title">
    <w:name w:val="Title"/>
    <w:basedOn w:val="Normal"/>
    <w:next w:val="Normal"/>
    <w:link w:val="TitleChar"/>
    <w:uiPriority w:val="10"/>
    <w:qFormat/>
    <w:rsid w:val="004216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16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6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16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69F"/>
    <w:pPr>
      <w:spacing w:before="160"/>
      <w:jc w:val="center"/>
    </w:pPr>
    <w:rPr>
      <w:i/>
      <w:iCs/>
      <w:color w:val="404040" w:themeColor="text1" w:themeTint="BF"/>
    </w:rPr>
  </w:style>
  <w:style w:type="character" w:customStyle="1" w:styleId="QuoteChar">
    <w:name w:val="Quote Char"/>
    <w:basedOn w:val="DefaultParagraphFont"/>
    <w:link w:val="Quote"/>
    <w:uiPriority w:val="29"/>
    <w:rsid w:val="0042169F"/>
    <w:rPr>
      <w:i/>
      <w:iCs/>
      <w:color w:val="404040" w:themeColor="text1" w:themeTint="BF"/>
    </w:rPr>
  </w:style>
  <w:style w:type="paragraph" w:styleId="ListParagraph">
    <w:name w:val="List Paragraph"/>
    <w:basedOn w:val="Normal"/>
    <w:uiPriority w:val="34"/>
    <w:qFormat/>
    <w:rsid w:val="0042169F"/>
    <w:pPr>
      <w:ind w:left="720"/>
      <w:contextualSpacing/>
    </w:pPr>
  </w:style>
  <w:style w:type="character" w:styleId="IntenseEmphasis">
    <w:name w:val="Intense Emphasis"/>
    <w:basedOn w:val="DefaultParagraphFont"/>
    <w:uiPriority w:val="21"/>
    <w:qFormat/>
    <w:rsid w:val="0042169F"/>
    <w:rPr>
      <w:i/>
      <w:iCs/>
      <w:color w:val="0F4761" w:themeColor="accent1" w:themeShade="BF"/>
    </w:rPr>
  </w:style>
  <w:style w:type="paragraph" w:styleId="IntenseQuote">
    <w:name w:val="Intense Quote"/>
    <w:basedOn w:val="Normal"/>
    <w:next w:val="Normal"/>
    <w:link w:val="IntenseQuoteChar"/>
    <w:uiPriority w:val="30"/>
    <w:qFormat/>
    <w:rsid w:val="00421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169F"/>
    <w:rPr>
      <w:i/>
      <w:iCs/>
      <w:color w:val="0F4761" w:themeColor="accent1" w:themeShade="BF"/>
    </w:rPr>
  </w:style>
  <w:style w:type="character" w:styleId="IntenseReference">
    <w:name w:val="Intense Reference"/>
    <w:basedOn w:val="DefaultParagraphFont"/>
    <w:uiPriority w:val="32"/>
    <w:qFormat/>
    <w:rsid w:val="0042169F"/>
    <w:rPr>
      <w:b/>
      <w:bCs/>
      <w:smallCaps/>
      <w:color w:val="0F4761" w:themeColor="accent1" w:themeShade="BF"/>
      <w:spacing w:val="5"/>
    </w:rPr>
  </w:style>
  <w:style w:type="table" w:styleId="TableGrid">
    <w:name w:val="Table Grid"/>
    <w:basedOn w:val="TableNormal"/>
    <w:uiPriority w:val="39"/>
    <w:rsid w:val="004216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ullet">
    <w:name w:val="SSC bullet"/>
    <w:basedOn w:val="Normal"/>
    <w:rsid w:val="0042169F"/>
    <w:pPr>
      <w:tabs>
        <w:tab w:val="left" w:pos="567"/>
      </w:tabs>
      <w:spacing w:after="120" w:line="240" w:lineRule="atLeast"/>
      <w:ind w:left="567" w:hanging="567"/>
      <w:jc w:val="both"/>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165527-d881-4234-97f9-ee139a3f0c31">TKMNZ-790227003-731794</_dlc_DocId>
    <TaxCatchAll xmlns="12165527-d881-4234-97f9-ee139a3f0c31" xsi:nil="true"/>
    <lcf76f155ced4ddcb4097134ff3c332f xmlns="bd540190-1571-4894-8f65-ec7ac9bf96bc">
      <Terms xmlns="http://schemas.microsoft.com/office/infopath/2007/PartnerControls"/>
    </lcf76f155ced4ddcb4097134ff3c332f>
    <_dlc_DocIdUrl xmlns="12165527-d881-4234-97f9-ee139a3f0c31">
      <Url>https://sscnz.sharepoint.com/sites/sscdms/56952/_layouts/15/DocIdRedir.aspx?ID=TKMNZ-790227003-731794</Url>
      <Description>TKMNZ-790227003-731794</Description>
    </_dlc_DocIdUrl>
    <SharedWithUsers xmlns="12165527-d881-4234-97f9-ee139a3f0c31">
      <UserInfo>
        <DisplayName>Marian Mortensen</DisplayName>
        <AccountId>33</AccountId>
        <AccountType/>
      </UserInfo>
      <UserInfo>
        <DisplayName>Niyaaz Sayed</DisplayName>
        <AccountId>29882</AccountId>
        <AccountType/>
      </UserInfo>
      <UserInfo>
        <DisplayName>Nico Haustein</DisplayName>
        <AccountId>44946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704BE1BBFFAF2448C6C299CF46E46C0" ma:contentTypeVersion="545" ma:contentTypeDescription="Create a new document." ma:contentTypeScope="" ma:versionID="030d6422eba0397391b4cc51983884f2">
  <xsd:schema xmlns:xsd="http://www.w3.org/2001/XMLSchema" xmlns:xs="http://www.w3.org/2001/XMLSchema" xmlns:p="http://schemas.microsoft.com/office/2006/metadata/properties" xmlns:ns2="bd540190-1571-4894-8f65-ec7ac9bf96bc" xmlns:ns3="12165527-d881-4234-97f9-ee139a3f0c31" targetNamespace="http://schemas.microsoft.com/office/2006/metadata/properties" ma:root="true" ma:fieldsID="397e1bc7fda22da4b45cc564a532da32" ns2:_="" ns3:_="">
    <xsd:import namespace="bd540190-1571-4894-8f65-ec7ac9bf96bc"/>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3:_dlc_DocId" minOccurs="0"/>
                <xsd:element ref="ns3:_dlc_DocIdUrl" minOccurs="0"/>
                <xsd:element ref="ns3:_dlc_DocIdPersistId"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40190-1571-4894-8f65-ec7ac9bf9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82B3B-0D34-4A52-8128-7C51D18EFD9D}">
  <ds:schemaRefs>
    <ds:schemaRef ds:uri="http://schemas.microsoft.com/office/2006/metadata/properties"/>
    <ds:schemaRef ds:uri="http://schemas.microsoft.com/office/infopath/2007/PartnerControls"/>
    <ds:schemaRef ds:uri="12165527-d881-4234-97f9-ee139a3f0c31"/>
    <ds:schemaRef ds:uri="bd540190-1571-4894-8f65-ec7ac9bf96bc"/>
  </ds:schemaRefs>
</ds:datastoreItem>
</file>

<file path=customXml/itemProps2.xml><?xml version="1.0" encoding="utf-8"?>
<ds:datastoreItem xmlns:ds="http://schemas.openxmlformats.org/officeDocument/2006/customXml" ds:itemID="{1A019771-773B-4480-83E2-382A6BF0DB8B}">
  <ds:schemaRefs>
    <ds:schemaRef ds:uri="http://schemas.microsoft.com/sharepoint/v3/contenttype/forms"/>
  </ds:schemaRefs>
</ds:datastoreItem>
</file>

<file path=customXml/itemProps3.xml><?xml version="1.0" encoding="utf-8"?>
<ds:datastoreItem xmlns:ds="http://schemas.openxmlformats.org/officeDocument/2006/customXml" ds:itemID="{84CE622A-EF88-4776-B181-84786FCBAB01}">
  <ds:schemaRefs>
    <ds:schemaRef ds:uri="http://schemas.microsoft.com/sharepoint/events"/>
  </ds:schemaRefs>
</ds:datastoreItem>
</file>

<file path=customXml/itemProps4.xml><?xml version="1.0" encoding="utf-8"?>
<ds:datastoreItem xmlns:ds="http://schemas.openxmlformats.org/officeDocument/2006/customXml" ds:itemID="{BC17288B-4A1B-4371-ABB4-112C66850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40190-1571-4894-8f65-ec7ac9bf96bc"/>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Mortensen</dc:creator>
  <cp:keywords/>
  <dc:description/>
  <cp:lastModifiedBy>Marian Mortensen</cp:lastModifiedBy>
  <cp:revision>2</cp:revision>
  <dcterms:created xsi:type="dcterms:W3CDTF">2024-04-17T21:35:00Z</dcterms:created>
  <dcterms:modified xsi:type="dcterms:W3CDTF">2024-04-17T21:35:00Z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0x0101006704BE1BBFFAF2448C6C299CF46E46C0</vt:lpwstr>
  </property>
  <property fmtid="{D5CDD505-2E9C-101B-9397-08002B2CF9AE}" pid="3" name="_dlc_DocIdItemGuid">
    <vt:lpwstr>afc3a9b9-0844-41da-8fe2-ba15a8bc48e6</vt:lpwstr>
  </property>
  <property fmtid="{D5CDD505-2E9C-101B-9397-08002B2CF9AE}" pid="4" name="MediaServiceImageTags">
    <vt:lpwstr/>
  </property>
</Properties>
</file>