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4038" w14:textId="2319423B" w:rsidR="00B02353" w:rsidRPr="004D5AAA" w:rsidRDefault="00B02353" w:rsidP="004D5AAA">
      <w:pPr>
        <w:rPr>
          <w:rFonts w:eastAsia="Times New Roman"/>
          <w:color w:val="000000"/>
          <w:lang w:eastAsia="en-NZ"/>
        </w:rPr>
      </w:pPr>
      <w:bookmarkStart w:id="0" w:name="_GoBack"/>
      <w:r w:rsidRPr="004D5AAA">
        <w:rPr>
          <w:noProof/>
        </w:rPr>
        <w:drawing>
          <wp:inline distT="0" distB="0" distL="0" distR="0" wp14:anchorId="290D4B0A" wp14:editId="71371A61">
            <wp:extent cx="5943600" cy="1909877"/>
            <wp:effectExtent l="0" t="0" r="0" b="0"/>
            <wp:docPr id="1" name="Picture 1" descr="Logo: to the left sits the Government Crest. To the right the words: Te Kawa Mataaho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09877"/>
                    </a:xfrm>
                    <a:prstGeom prst="rect">
                      <a:avLst/>
                    </a:prstGeom>
                    <a:noFill/>
                    <a:ln>
                      <a:noFill/>
                    </a:ln>
                  </pic:spPr>
                </pic:pic>
              </a:graphicData>
            </a:graphic>
          </wp:inline>
        </w:drawing>
      </w:r>
      <w:bookmarkEnd w:id="0"/>
    </w:p>
    <w:p w14:paraId="4A01FB86" w14:textId="04CF9B66" w:rsidR="00933DDF" w:rsidRPr="004D5AAA" w:rsidRDefault="00B8474B" w:rsidP="004D5AAA">
      <w:pPr>
        <w:pStyle w:val="Heading1"/>
      </w:pPr>
      <w:r w:rsidRPr="004D5AAA">
        <w:t xml:space="preserve">He </w:t>
      </w:r>
      <w:proofErr w:type="spellStart"/>
      <w:r w:rsidRPr="004D5AAA">
        <w:t>Ārahitanga</w:t>
      </w:r>
      <w:proofErr w:type="spellEnd"/>
      <w:r w:rsidRPr="004D5AAA">
        <w:t xml:space="preserve"> </w:t>
      </w:r>
      <w:proofErr w:type="spellStart"/>
      <w:r w:rsidRPr="004D5AAA">
        <w:t>Pōtitanga</w:t>
      </w:r>
      <w:proofErr w:type="spellEnd"/>
      <w:r w:rsidRPr="004D5AAA">
        <w:t xml:space="preserve"> </w:t>
      </w:r>
      <w:proofErr w:type="spellStart"/>
      <w:r w:rsidRPr="004D5AAA">
        <w:t>Whānui</w:t>
      </w:r>
      <w:proofErr w:type="spellEnd"/>
      <w:r w:rsidRPr="004D5AAA">
        <w:t xml:space="preserve"> | General Election Guidance 2023</w:t>
      </w:r>
    </w:p>
    <w:p w14:paraId="25CEB4C1" w14:textId="64F95CBF" w:rsidR="00EF1504" w:rsidRDefault="0001354D" w:rsidP="004D5AAA">
      <w:pPr>
        <w:pStyle w:val="Heading2"/>
      </w:pPr>
      <w:r w:rsidRPr="004D5AAA">
        <w:t>Summary of guidance</w:t>
      </w:r>
    </w:p>
    <w:p w14:paraId="1EDC973A" w14:textId="79A561B7" w:rsidR="00BE18F8" w:rsidRDefault="000D7052" w:rsidP="000D7052">
      <w:pPr>
        <w:rPr>
          <w:rStyle w:val="Hyperlink"/>
          <w:color w:val="auto"/>
          <w:u w:val="none"/>
        </w:rPr>
      </w:pPr>
      <w:r w:rsidRPr="7710C245">
        <w:t xml:space="preserve">The General Election Guidance 2023 covers what it means to work in the public sector before, during and after an election, for individuals and public sector agencies collectively. For a full list of who the guidance applies to, see: </w:t>
      </w:r>
      <w:hyperlink r:id="rId12" w:anchor=":~:text=preparation%20for%20agencies.-,Who%20this%20guidance%20is%20for,-This%20guidance%20applies" w:history="1">
        <w:r w:rsidR="00F616BD" w:rsidRPr="00F616BD">
          <w:rPr>
            <w:rStyle w:val="Hyperlink"/>
          </w:rPr>
          <w:t>Who this guidance is for</w:t>
        </w:r>
      </w:hyperlink>
      <w:r w:rsidR="00623FA1" w:rsidRPr="00662773">
        <w:rPr>
          <w:rStyle w:val="Hyperlink"/>
          <w:u w:val="none"/>
        </w:rPr>
        <w:t xml:space="preserve"> </w:t>
      </w:r>
      <w:r w:rsidR="00BE18F8">
        <w:rPr>
          <w:rStyle w:val="Hyperlink"/>
          <w:color w:val="auto"/>
          <w:u w:val="none"/>
        </w:rPr>
        <w:t>(</w:t>
      </w:r>
      <w:hyperlink r:id="rId13" w:history="1">
        <w:r w:rsidR="00BE18F8" w:rsidRPr="00C8584A">
          <w:rPr>
            <w:rStyle w:val="Hyperlink"/>
          </w:rPr>
          <w:t>https://tinyurl.com/48r7nnz9</w:t>
        </w:r>
      </w:hyperlink>
      <w:r w:rsidR="00BE18F8">
        <w:rPr>
          <w:rStyle w:val="Hyperlink"/>
          <w:color w:val="auto"/>
          <w:u w:val="none"/>
        </w:rPr>
        <w:t>)</w:t>
      </w:r>
    </w:p>
    <w:p w14:paraId="78CB3BD8" w14:textId="72CB4FD4" w:rsidR="00623FA1" w:rsidRDefault="000D7052" w:rsidP="00BE18F8">
      <w:pPr>
        <w:rPr>
          <w:b/>
          <w:sz w:val="44"/>
        </w:rPr>
      </w:pPr>
      <w:r>
        <w:t xml:space="preserve">This document highlights some of the key topics covered in the full guidance. We encourage all to read the comprehensive version, see: </w:t>
      </w:r>
      <w:hyperlink r:id="rId14" w:history="1">
        <w:r w:rsidRPr="000D7052">
          <w:rPr>
            <w:rStyle w:val="Hyperlink"/>
          </w:rPr>
          <w:t>General Election Guidance 2023</w:t>
        </w:r>
      </w:hyperlink>
      <w:r w:rsidRPr="000D7052">
        <w:t xml:space="preserve"> </w:t>
      </w:r>
      <w:r w:rsidR="00BE18F8">
        <w:t>(</w:t>
      </w:r>
      <w:hyperlink r:id="rId15" w:history="1">
        <w:r w:rsidR="00BE18F8" w:rsidRPr="00C8584A">
          <w:rPr>
            <w:rStyle w:val="Hyperlink"/>
          </w:rPr>
          <w:t>https://tinyurl.com/4m5h6cjb</w:t>
        </w:r>
      </w:hyperlink>
      <w:r w:rsidR="00BE18F8">
        <w:t xml:space="preserve">) </w:t>
      </w:r>
    </w:p>
    <w:p w14:paraId="62FE2084" w14:textId="2D0375CE" w:rsidR="000D7052" w:rsidRDefault="000D7052" w:rsidP="000D7052">
      <w:pPr>
        <w:pStyle w:val="Heading3"/>
        <w:rPr>
          <w:rFonts w:eastAsia="Times New Roman" w:cs="Times New Roman"/>
          <w:color w:val="000000" w:themeColor="text1"/>
          <w:sz w:val="26"/>
          <w:szCs w:val="26"/>
          <w:lang w:eastAsia="en-NZ"/>
        </w:rPr>
      </w:pPr>
      <w:r w:rsidRPr="618BCA64">
        <w:t>Case studies</w:t>
      </w:r>
    </w:p>
    <w:p w14:paraId="388115E7" w14:textId="231CC0CA" w:rsidR="00BE18F8" w:rsidRPr="00BE18F8" w:rsidRDefault="000D7052" w:rsidP="00BE18F8">
      <w:pPr>
        <w:rPr>
          <w:rFonts w:eastAsia="Times New Roman"/>
          <w:highlight w:val="yellow"/>
          <w:lang w:eastAsia="en-NZ"/>
        </w:rPr>
      </w:pPr>
      <w:r w:rsidRPr="618BCA64">
        <w:rPr>
          <w:rFonts w:eastAsia="Times New Roman"/>
          <w:color w:val="000000" w:themeColor="text1"/>
          <w:lang w:eastAsia="en-NZ"/>
        </w:rPr>
        <w:t>For examples of how to apply the principles set out in th</w:t>
      </w:r>
      <w:r>
        <w:rPr>
          <w:rFonts w:eastAsia="Times New Roman"/>
          <w:color w:val="000000" w:themeColor="text1"/>
          <w:lang w:eastAsia="en-NZ"/>
        </w:rPr>
        <w:t>e</w:t>
      </w:r>
      <w:r w:rsidRPr="618BCA64">
        <w:rPr>
          <w:rFonts w:eastAsia="Times New Roman"/>
          <w:color w:val="000000" w:themeColor="text1"/>
          <w:lang w:eastAsia="en-NZ"/>
        </w:rPr>
        <w:t xml:space="preserve"> guidance, see: </w:t>
      </w:r>
      <w:hyperlink r:id="rId16" w:history="1">
        <w:r w:rsidR="00FA7275" w:rsidRPr="00FA7275">
          <w:rPr>
            <w:rStyle w:val="Hyperlink"/>
            <w:rFonts w:eastAsia="Times New Roman"/>
            <w:lang w:eastAsia="en-NZ"/>
          </w:rPr>
          <w:t>Appendix A case studies</w:t>
        </w:r>
      </w:hyperlink>
      <w:r w:rsidR="00BE18F8">
        <w:t xml:space="preserve"> (</w:t>
      </w:r>
      <w:hyperlink r:id="rId17" w:history="1">
        <w:r w:rsidR="00BE18F8" w:rsidRPr="00C8584A">
          <w:rPr>
            <w:rStyle w:val="Hyperlink"/>
          </w:rPr>
          <w:t>https://tinyurl.com/2akthpy7</w:t>
        </w:r>
      </w:hyperlink>
      <w:r w:rsidR="00BE18F8">
        <w:t>)</w:t>
      </w:r>
    </w:p>
    <w:p w14:paraId="0696E8F6" w14:textId="7DB8E048" w:rsidR="000D7052" w:rsidRPr="0061698B" w:rsidRDefault="000D7052" w:rsidP="000D7052">
      <w:pPr>
        <w:pStyle w:val="Heading3"/>
      </w:pPr>
      <w:r>
        <w:lastRenderedPageBreak/>
        <w:t>Public servants</w:t>
      </w:r>
      <w:r w:rsidRPr="0061698B">
        <w:t xml:space="preserve"> at work</w:t>
      </w:r>
    </w:p>
    <w:p w14:paraId="46DDE284" w14:textId="58A89F32" w:rsidR="00BE18F8" w:rsidRPr="00BE18F8" w:rsidRDefault="000D7052" w:rsidP="000D7052">
      <w:pPr>
        <w:rPr>
          <w:color w:val="0000FF"/>
          <w:highlight w:val="yellow"/>
          <w:u w:val="single"/>
        </w:rPr>
      </w:pPr>
      <w:r>
        <w:t>When</w:t>
      </w:r>
      <w:r w:rsidRPr="002125BE">
        <w:t xml:space="preserve"> serving the government of the day, </w:t>
      </w:r>
      <w:r>
        <w:t>public servants</w:t>
      </w:r>
      <w:r w:rsidRPr="002125BE">
        <w:t xml:space="preserve"> must be politically neutral</w:t>
      </w:r>
      <w:r>
        <w:t xml:space="preserve">. </w:t>
      </w:r>
      <w:r w:rsidRPr="001A69EB">
        <w:t>Th</w:t>
      </w:r>
      <w:r>
        <w:t xml:space="preserve">is ensures the </w:t>
      </w:r>
      <w:r w:rsidRPr="001A69EB">
        <w:t>public sector maintains the trust and confidence of both current and future governments, and the public.</w:t>
      </w:r>
      <w:r>
        <w:t xml:space="preserve"> </w:t>
      </w:r>
      <w:r w:rsidRPr="003D2142">
        <w:t xml:space="preserve">For more information, see: </w:t>
      </w:r>
      <w:hyperlink r:id="rId18" w:history="1">
        <w:r w:rsidRPr="000D7052">
          <w:rPr>
            <w:rStyle w:val="Hyperlink"/>
          </w:rPr>
          <w:t>Public servants at work</w:t>
        </w:r>
      </w:hyperlink>
      <w:r w:rsidR="00BE18F8">
        <w:t xml:space="preserve"> (</w:t>
      </w:r>
      <w:hyperlink r:id="rId19" w:history="1">
        <w:r w:rsidR="00BE18F8" w:rsidRPr="00C8584A">
          <w:rPr>
            <w:rStyle w:val="Hyperlink"/>
          </w:rPr>
          <w:t>https://tinyurl.com/jjc7etya</w:t>
        </w:r>
      </w:hyperlink>
      <w:r w:rsidR="00BE18F8">
        <w:t>)</w:t>
      </w:r>
    </w:p>
    <w:p w14:paraId="081E67F1" w14:textId="77777777" w:rsidR="000D7052" w:rsidRPr="0061698B" w:rsidRDefault="000D7052" w:rsidP="000D7052">
      <w:pPr>
        <w:pStyle w:val="Heading3"/>
      </w:pPr>
      <w:r>
        <w:t>Public servants</w:t>
      </w:r>
      <w:r w:rsidRPr="0061698B">
        <w:t xml:space="preserve"> outside of work</w:t>
      </w:r>
    </w:p>
    <w:p w14:paraId="1186453F" w14:textId="280D0E40" w:rsidR="000D7052" w:rsidRDefault="000D7052" w:rsidP="000D7052">
      <w:r>
        <w:t>Public servants</w:t>
      </w:r>
      <w:r w:rsidRPr="0061698B">
        <w:t xml:space="preserve"> have the same rights to freedom of speech and political activity in their private lives as other New Zealanders.</w:t>
      </w:r>
    </w:p>
    <w:p w14:paraId="67FF5AF5" w14:textId="5A0F4D2B" w:rsidR="00F616BD" w:rsidRDefault="000D7052" w:rsidP="000D7052">
      <w:r w:rsidRPr="0061698B">
        <w:t>In general, there is nothing wrong in having political interests or activities outside work so long as these are identified and conflicts are</w:t>
      </w:r>
      <w:r>
        <w:t xml:space="preserve"> avoided or</w:t>
      </w:r>
      <w:r w:rsidRPr="0061698B">
        <w:t xml:space="preserve"> appropriately managed.</w:t>
      </w:r>
      <w:r>
        <w:t xml:space="preserve"> Public servants</w:t>
      </w:r>
      <w:r w:rsidRPr="0061698B">
        <w:t xml:space="preserve"> are expected to take reasonable care</w:t>
      </w:r>
      <w:r>
        <w:t xml:space="preserve"> to</w:t>
      </w:r>
      <w:r w:rsidRPr="0061698B">
        <w:t xml:space="preserve"> maintain </w:t>
      </w:r>
      <w:r>
        <w:t xml:space="preserve">a </w:t>
      </w:r>
      <w:r w:rsidRPr="0061698B">
        <w:t xml:space="preserve">clear separation between their work role and personal </w:t>
      </w:r>
      <w:r>
        <w:t>views</w:t>
      </w:r>
      <w:r w:rsidRPr="0061698B">
        <w:t>.</w:t>
      </w:r>
    </w:p>
    <w:p w14:paraId="671B3A4E" w14:textId="4A516084" w:rsidR="000D7052" w:rsidRDefault="000D7052" w:rsidP="000D7052">
      <w:r>
        <w:t xml:space="preserve">If public servants have any uncertainties about how interests outside of work may impact their public sector role, we encourage them to refer to the full election guidance and to engage early with </w:t>
      </w:r>
      <w:r w:rsidRPr="3541A7B2">
        <w:t>their</w:t>
      </w:r>
      <w:r>
        <w:t xml:space="preserve"> agency to seek clarification.</w:t>
      </w:r>
    </w:p>
    <w:p w14:paraId="1A98B9ED" w14:textId="6D82BA7D" w:rsidR="000D7052" w:rsidRPr="0061698B" w:rsidRDefault="000D7052" w:rsidP="000D7052">
      <w:r w:rsidRPr="0061698B">
        <w:t xml:space="preserve">If standing for election, </w:t>
      </w:r>
      <w:r>
        <w:t>public servants</w:t>
      </w:r>
      <w:r w:rsidRPr="0061698B">
        <w:t xml:space="preserve"> must separate their political candidacy from their work role and their agency. </w:t>
      </w:r>
      <w:r>
        <w:t>It is often appropriate for public servants to take a leave of absence during the campaign and for some this is a requirement from Nomination Day.</w:t>
      </w:r>
    </w:p>
    <w:p w14:paraId="702168AD" w14:textId="0AFA6A58" w:rsidR="000D7052" w:rsidRDefault="000D7052" w:rsidP="000D7052">
      <w:r w:rsidRPr="0061698B">
        <w:lastRenderedPageBreak/>
        <w:t>Board members who are thinking of standing for election are advised to discuss it with their Chair and monitoring department.</w:t>
      </w:r>
    </w:p>
    <w:p w14:paraId="6DD05ED3" w14:textId="68658632" w:rsidR="00BE18F8" w:rsidRDefault="000D7052" w:rsidP="000D7052">
      <w:r w:rsidRPr="005D6AFB">
        <w:t xml:space="preserve">For more information, see </w:t>
      </w:r>
      <w:hyperlink r:id="rId20" w:history="1">
        <w:r w:rsidRPr="000D7052">
          <w:rPr>
            <w:rStyle w:val="Hyperlink"/>
          </w:rPr>
          <w:t>Public servants outside work</w:t>
        </w:r>
      </w:hyperlink>
      <w:r w:rsidR="00BE18F8">
        <w:t xml:space="preserve"> (</w:t>
      </w:r>
      <w:hyperlink r:id="rId21" w:history="1">
        <w:r w:rsidR="00BE18F8" w:rsidRPr="00C8584A">
          <w:rPr>
            <w:rStyle w:val="Hyperlink"/>
          </w:rPr>
          <w:t>https://tinyurl.com/4dxmf668</w:t>
        </w:r>
      </w:hyperlink>
      <w:r w:rsidR="00BE18F8">
        <w:t>)</w:t>
      </w:r>
    </w:p>
    <w:p w14:paraId="079AD122" w14:textId="77777777" w:rsidR="000D7052" w:rsidRPr="0061698B" w:rsidRDefault="000D7052" w:rsidP="000D7052">
      <w:pPr>
        <w:pStyle w:val="Heading3"/>
      </w:pPr>
      <w:r w:rsidRPr="0061698B">
        <w:t>Responsibilities of public sector agencies</w:t>
      </w:r>
    </w:p>
    <w:p w14:paraId="5955A7AB" w14:textId="48A72BAF" w:rsidR="000D7052" w:rsidRPr="0061698B" w:rsidRDefault="000D7052" w:rsidP="000D7052">
      <w:r w:rsidRPr="0061698B">
        <w:t xml:space="preserve">The proactive release of Cabinet papers </w:t>
      </w:r>
      <w:r>
        <w:t>and r</w:t>
      </w:r>
      <w:r w:rsidRPr="0061698B">
        <w:t>esponses to Official Information Act 1982 (OIA) requests continue as normal</w:t>
      </w:r>
      <w:r>
        <w:t xml:space="preserve"> </w:t>
      </w:r>
      <w:r w:rsidRPr="0061698B">
        <w:t>during the election period.</w:t>
      </w:r>
      <w:r w:rsidRPr="00A91A1C">
        <w:t xml:space="preserve"> </w:t>
      </w:r>
      <w:r w:rsidRPr="0061698B">
        <w:t>All requestors should be treated the same, with MPs having the same right</w:t>
      </w:r>
      <w:r>
        <w:t>s</w:t>
      </w:r>
      <w:r w:rsidRPr="0061698B">
        <w:t xml:space="preserve"> as other New Zealanders, but no additional rights.</w:t>
      </w:r>
    </w:p>
    <w:p w14:paraId="460E2C4E" w14:textId="7FFA25A3" w:rsidR="000D7052" w:rsidRPr="00CD39E3" w:rsidRDefault="000D7052" w:rsidP="000D7052">
      <w:r w:rsidRPr="0061698B">
        <w:t>It is the responsibility of the chief executive to consider any risks to political neutrality before agreeing to or declining a visit</w:t>
      </w:r>
      <w:r>
        <w:t xml:space="preserve"> from an MP</w:t>
      </w:r>
      <w:r w:rsidRPr="0061698B">
        <w:t>.</w:t>
      </w:r>
    </w:p>
    <w:p w14:paraId="28C6765E" w14:textId="1FBA92F9" w:rsidR="000D7052" w:rsidRPr="0061698B" w:rsidRDefault="000D7052" w:rsidP="000D7052">
      <w:r w:rsidRPr="0061698B">
        <w:t>It is never appropriate for an agency’s public funds or resources to be used for political purposes. Agency resources</w:t>
      </w:r>
      <w:r>
        <w:t xml:space="preserve"> </w:t>
      </w:r>
      <w:r w:rsidRPr="0061698B">
        <w:t>must not be used to display political material.</w:t>
      </w:r>
    </w:p>
    <w:p w14:paraId="60B7B94E" w14:textId="53A51A98" w:rsidR="000D7052" w:rsidRDefault="000D7052" w:rsidP="000D7052">
      <w:r w:rsidRPr="0061698B">
        <w:t>Unions may share their approach to party policies with members, but material must not be displayed in areas of an agency accessible by the public.</w:t>
      </w:r>
    </w:p>
    <w:p w14:paraId="55E55B8B" w14:textId="4894FE82" w:rsidR="00BE18F8" w:rsidRDefault="000D7052" w:rsidP="000D7052">
      <w:r w:rsidRPr="001D1EFB">
        <w:t xml:space="preserve">For more information, see </w:t>
      </w:r>
      <w:hyperlink r:id="rId22" w:history="1">
        <w:r w:rsidRPr="000D7052">
          <w:rPr>
            <w:rStyle w:val="Hyperlink"/>
          </w:rPr>
          <w:t>Responsibilities of public sector agencies</w:t>
        </w:r>
      </w:hyperlink>
      <w:r w:rsidR="00F616BD" w:rsidRPr="00F72E0B">
        <w:rPr>
          <w:rStyle w:val="Hyperlink"/>
          <w:u w:val="none"/>
        </w:rPr>
        <w:t xml:space="preserve"> </w:t>
      </w:r>
      <w:r w:rsidR="00BE18F8">
        <w:t>(</w:t>
      </w:r>
      <w:hyperlink r:id="rId23" w:history="1">
        <w:r w:rsidR="00BE18F8" w:rsidRPr="00C8584A">
          <w:rPr>
            <w:rStyle w:val="Hyperlink"/>
          </w:rPr>
          <w:t>https://tinyurl.com/2tdcaxjk</w:t>
        </w:r>
      </w:hyperlink>
      <w:r w:rsidR="00BE18F8">
        <w:t>)</w:t>
      </w:r>
    </w:p>
    <w:p w14:paraId="3611E7B2" w14:textId="2451FADD" w:rsidR="000D7052" w:rsidRPr="00394631" w:rsidRDefault="000D7052" w:rsidP="000D7052">
      <w:pPr>
        <w:pStyle w:val="Heading3"/>
      </w:pPr>
      <w:r w:rsidRPr="00394631">
        <w:lastRenderedPageBreak/>
        <w:t>Public sector advertising, publicity and</w:t>
      </w:r>
      <w:r>
        <w:t xml:space="preserve"> </w:t>
      </w:r>
      <w:r w:rsidRPr="00394631">
        <w:t>the</w:t>
      </w:r>
      <w:r>
        <w:t xml:space="preserve"> </w:t>
      </w:r>
      <w:r w:rsidRPr="00394631">
        <w:t>media</w:t>
      </w:r>
    </w:p>
    <w:p w14:paraId="67F27194" w14:textId="18105A1E" w:rsidR="000D7052" w:rsidRPr="0061698B" w:rsidRDefault="000D7052" w:rsidP="000D7052">
      <w:r w:rsidRPr="0061698B">
        <w:t xml:space="preserve">The </w:t>
      </w:r>
      <w:r w:rsidRPr="000D7052">
        <w:rPr>
          <w:iCs/>
        </w:rPr>
        <w:t>Guidelines for Government Advertising</w:t>
      </w:r>
      <w:r w:rsidRPr="0061698B">
        <w:t xml:space="preserve"> apply </w:t>
      </w:r>
      <w:r>
        <w:t>at all times, including</w:t>
      </w:r>
      <w:r w:rsidRPr="0061698B">
        <w:t xml:space="preserve"> during the election period. Deferring some advertising in the pre-election period may sometimes be appropriate.</w:t>
      </w:r>
    </w:p>
    <w:p w14:paraId="5AFC2A68" w14:textId="77777777" w:rsidR="000D7052" w:rsidRDefault="000D7052" w:rsidP="000D7052">
      <w:r w:rsidRPr="0061698B">
        <w:t>When corresponding with the media, agencies must take care to ensure that communications material is factual and politically neutral</w:t>
      </w:r>
      <w:r>
        <w:t>.</w:t>
      </w:r>
    </w:p>
    <w:p w14:paraId="16F3CA59" w14:textId="465DEF2A" w:rsidR="000D7052" w:rsidRDefault="000D7052" w:rsidP="000D7052">
      <w:r w:rsidRPr="0061698B">
        <w:t xml:space="preserve">The nature and timing of </w:t>
      </w:r>
      <w:proofErr w:type="spellStart"/>
      <w:r w:rsidRPr="0061698B">
        <w:t>programme</w:t>
      </w:r>
      <w:proofErr w:type="spellEnd"/>
      <w:r w:rsidRPr="0061698B">
        <w:t xml:space="preserve"> launches and events must be carefully considered and managed to ensure the agency does not become drawn into any political aspects of an event. In some cases, it may be appropriate to defer high-profile events involving the Minister until post-election.</w:t>
      </w:r>
    </w:p>
    <w:p w14:paraId="39937A13" w14:textId="38F1E11B" w:rsidR="00BE18F8" w:rsidRPr="000D7052" w:rsidRDefault="000D7052" w:rsidP="000D7052">
      <w:r w:rsidRPr="005A6B9A">
        <w:t xml:space="preserve">For more information, see: </w:t>
      </w:r>
      <w:hyperlink r:id="rId24" w:history="1">
        <w:r w:rsidRPr="000D7052">
          <w:rPr>
            <w:rStyle w:val="Hyperlink"/>
          </w:rPr>
          <w:t>Public sector advertising, publicity and the media</w:t>
        </w:r>
      </w:hyperlink>
      <w:r w:rsidR="00BE18F8">
        <w:t xml:space="preserve"> (</w:t>
      </w:r>
      <w:hyperlink r:id="rId25" w:history="1">
        <w:r w:rsidR="00BE18F8" w:rsidRPr="00C8584A">
          <w:rPr>
            <w:rStyle w:val="Hyperlink"/>
          </w:rPr>
          <w:t>https://tinyurl.com/msstjjdj</w:t>
        </w:r>
      </w:hyperlink>
      <w:r w:rsidR="00BE18F8">
        <w:t xml:space="preserve">) </w:t>
      </w:r>
    </w:p>
    <w:p w14:paraId="0CB2E5A3" w14:textId="77777777" w:rsidR="000D7052" w:rsidRPr="00324A89" w:rsidRDefault="000D7052" w:rsidP="000D7052">
      <w:pPr>
        <w:pStyle w:val="Heading3"/>
      </w:pPr>
      <w:r w:rsidRPr="00324A89">
        <w:t>The public sector and the General Election</w:t>
      </w:r>
    </w:p>
    <w:p w14:paraId="46204E9E" w14:textId="77777777" w:rsidR="000D7052" w:rsidRPr="0061698B" w:rsidRDefault="000D7052" w:rsidP="000D7052">
      <w:r w:rsidRPr="0061698B">
        <w:t>The pre-election period is generally the three months immediately before election day.</w:t>
      </w:r>
      <w:r w:rsidRPr="0061698B" w:rsidDel="00FA404A">
        <w:t xml:space="preserve"> </w:t>
      </w:r>
      <w:r>
        <w:t>In 2023, the pre-election period begins on the 14</w:t>
      </w:r>
      <w:r w:rsidRPr="00622B4C">
        <w:rPr>
          <w:vertAlign w:val="superscript"/>
        </w:rPr>
        <w:t>th</w:t>
      </w:r>
      <w:r>
        <w:t xml:space="preserve"> of July.</w:t>
      </w:r>
    </w:p>
    <w:p w14:paraId="6074EA46" w14:textId="1CACF5ED" w:rsidR="000D7052" w:rsidRPr="0061698B" w:rsidRDefault="000D7052" w:rsidP="000D7052">
      <w:r>
        <w:t>On election day, t</w:t>
      </w:r>
      <w:r w:rsidRPr="004B4F55">
        <w:t>here is a ban on all political advertising, including social media.</w:t>
      </w:r>
      <w:r>
        <w:t xml:space="preserve"> Public servants</w:t>
      </w:r>
      <w:r w:rsidRPr="0061698B">
        <w:t xml:space="preserve"> are strongly encouraged to vote. </w:t>
      </w:r>
      <w:r>
        <w:t>In 2023, the date of the general election is the 14</w:t>
      </w:r>
      <w:r w:rsidRPr="00622B4C">
        <w:rPr>
          <w:vertAlign w:val="superscript"/>
        </w:rPr>
        <w:t>th</w:t>
      </w:r>
      <w:r>
        <w:t xml:space="preserve"> of October.</w:t>
      </w:r>
    </w:p>
    <w:p w14:paraId="72CF8A00" w14:textId="13F0614B" w:rsidR="00BE18F8" w:rsidRDefault="000D7052" w:rsidP="000D7052">
      <w:r w:rsidRPr="0061698B">
        <w:lastRenderedPageBreak/>
        <w:t>The caretaker con</w:t>
      </w:r>
      <w:r>
        <w:t>v</w:t>
      </w:r>
      <w:r w:rsidRPr="0061698B">
        <w:t>ention applies from the day after election day until the new government is sworn in.</w:t>
      </w:r>
      <w:r>
        <w:t xml:space="preserve"> </w:t>
      </w:r>
      <w:r w:rsidRPr="009A4DCA">
        <w:t xml:space="preserve">For more information, see: </w:t>
      </w:r>
      <w:hyperlink r:id="rId26" w:history="1">
        <w:r w:rsidRPr="000D7052">
          <w:rPr>
            <w:rStyle w:val="Hyperlink"/>
          </w:rPr>
          <w:t>The public sector and the general election</w:t>
        </w:r>
      </w:hyperlink>
      <w:r w:rsidR="00F616BD">
        <w:rPr>
          <w:rStyle w:val="Hyperlink"/>
        </w:rPr>
        <w:t xml:space="preserve"> </w:t>
      </w:r>
      <w:r w:rsidR="00BE18F8">
        <w:t>(</w:t>
      </w:r>
      <w:hyperlink r:id="rId27" w:history="1">
        <w:r w:rsidR="00BE18F8" w:rsidRPr="00C8584A">
          <w:rPr>
            <w:rStyle w:val="Hyperlink"/>
          </w:rPr>
          <w:t>https://tinyurl.com/yk7skkma</w:t>
        </w:r>
      </w:hyperlink>
      <w:r w:rsidR="00BE18F8">
        <w:t>)</w:t>
      </w:r>
    </w:p>
    <w:p w14:paraId="0E4B43BF" w14:textId="77777777" w:rsidR="000D7052" w:rsidRPr="00452C8C" w:rsidRDefault="000D7052" w:rsidP="000D7052">
      <w:pPr>
        <w:pStyle w:val="Heading3"/>
      </w:pPr>
      <w:r w:rsidRPr="00452C8C">
        <w:t>Government processes before, during and after an election</w:t>
      </w:r>
    </w:p>
    <w:p w14:paraId="7872B912" w14:textId="32634C81" w:rsidR="000D7052" w:rsidRDefault="000D7052" w:rsidP="000D7052">
      <w:r w:rsidRPr="0061698B">
        <w:t>All requests by political parties for information to support the government formation negotiations must be made to the Public Service Commissioner. If an agency is requested to provide costings for information and analysis, the costings must be developed in consultation with The Treasury.</w:t>
      </w:r>
    </w:p>
    <w:p w14:paraId="317E8914" w14:textId="35DA589B" w:rsidR="00BE18F8" w:rsidRDefault="000D7052" w:rsidP="000D7052">
      <w:r w:rsidRPr="00486A59">
        <w:t xml:space="preserve">For more information, see: </w:t>
      </w:r>
      <w:hyperlink r:id="rId28" w:history="1">
        <w:r w:rsidRPr="000D7052">
          <w:rPr>
            <w:rStyle w:val="Hyperlink"/>
          </w:rPr>
          <w:t>Government processes before, during and after an election</w:t>
        </w:r>
      </w:hyperlink>
      <w:r w:rsidR="00BE18F8">
        <w:t xml:space="preserve"> (</w:t>
      </w:r>
      <w:hyperlink r:id="rId29" w:history="1">
        <w:r w:rsidR="00BE18F8" w:rsidRPr="00C8584A">
          <w:rPr>
            <w:rStyle w:val="Hyperlink"/>
          </w:rPr>
          <w:t>https://tinyurl.com/2yhjjxb8</w:t>
        </w:r>
      </w:hyperlink>
      <w:r w:rsidR="00BE18F8">
        <w:t>)</w:t>
      </w:r>
    </w:p>
    <w:p w14:paraId="10243B6C" w14:textId="41F4D1C7" w:rsidR="000D7052" w:rsidRDefault="000D7052" w:rsidP="000D7052">
      <w:pPr>
        <w:rPr>
          <w:rStyle w:val="Hyperlink"/>
          <w:lang w:val="en-NZ"/>
        </w:rPr>
      </w:pPr>
      <w:r>
        <w:t xml:space="preserve">For more information or questions, please contact us at </w:t>
      </w:r>
      <w:hyperlink r:id="rId30">
        <w:r w:rsidRPr="65FA4FCF">
          <w:rPr>
            <w:rStyle w:val="Hyperlink"/>
            <w:lang w:val="en-NZ"/>
          </w:rPr>
          <w:t>election@publicservice.govt.nz</w:t>
        </w:r>
      </w:hyperlink>
    </w:p>
    <w:p w14:paraId="68208D5E" w14:textId="43DC3354" w:rsidR="00BE18F8" w:rsidRDefault="00BE18F8" w:rsidP="000D7052"/>
    <w:p w14:paraId="3BCDE4F0" w14:textId="207C6DCF" w:rsidR="00BE18F8" w:rsidRPr="00BE18F8" w:rsidRDefault="00BE18F8" w:rsidP="000D7052">
      <w:pPr>
        <w:rPr>
          <w:b/>
          <w:sz w:val="40"/>
        </w:rPr>
      </w:pPr>
      <w:r w:rsidRPr="00BE18F8">
        <w:rPr>
          <w:b/>
          <w:sz w:val="40"/>
        </w:rPr>
        <w:t xml:space="preserve">End of information: </w:t>
      </w:r>
      <w:r w:rsidRPr="00BE18F8">
        <w:rPr>
          <w:b/>
          <w:sz w:val="40"/>
        </w:rPr>
        <w:t xml:space="preserve">He </w:t>
      </w:r>
      <w:proofErr w:type="spellStart"/>
      <w:r w:rsidRPr="00BE18F8">
        <w:rPr>
          <w:b/>
          <w:sz w:val="40"/>
        </w:rPr>
        <w:t>Ārahitanga</w:t>
      </w:r>
      <w:proofErr w:type="spellEnd"/>
      <w:r w:rsidRPr="00BE18F8">
        <w:rPr>
          <w:b/>
          <w:sz w:val="40"/>
        </w:rPr>
        <w:t xml:space="preserve"> </w:t>
      </w:r>
      <w:proofErr w:type="spellStart"/>
      <w:r w:rsidRPr="00BE18F8">
        <w:rPr>
          <w:b/>
          <w:sz w:val="40"/>
        </w:rPr>
        <w:t>Pōtitanga</w:t>
      </w:r>
      <w:proofErr w:type="spellEnd"/>
      <w:r w:rsidRPr="00BE18F8">
        <w:rPr>
          <w:b/>
          <w:sz w:val="40"/>
        </w:rPr>
        <w:t xml:space="preserve"> </w:t>
      </w:r>
      <w:proofErr w:type="spellStart"/>
      <w:r w:rsidRPr="00BE18F8">
        <w:rPr>
          <w:b/>
          <w:sz w:val="40"/>
        </w:rPr>
        <w:t>Whānui</w:t>
      </w:r>
      <w:proofErr w:type="spellEnd"/>
      <w:r w:rsidRPr="00BE18F8">
        <w:rPr>
          <w:b/>
          <w:sz w:val="40"/>
        </w:rPr>
        <w:t xml:space="preserve"> | General Election Guidance 2023</w:t>
      </w:r>
    </w:p>
    <w:sectPr w:rsidR="00BE18F8" w:rsidRPr="00BE18F8" w:rsidSect="004D5AAA">
      <w:pgSz w:w="12240" w:h="15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D1A69" w14:textId="77777777" w:rsidR="00662773" w:rsidRDefault="00662773" w:rsidP="004D5AAA">
      <w:r>
        <w:separator/>
      </w:r>
    </w:p>
  </w:endnote>
  <w:endnote w:type="continuationSeparator" w:id="0">
    <w:p w14:paraId="757CD070" w14:textId="77777777" w:rsidR="00662773" w:rsidRDefault="00662773" w:rsidP="004D5AAA">
      <w:r>
        <w:continuationSeparator/>
      </w:r>
    </w:p>
  </w:endnote>
  <w:endnote w:type="continuationNotice" w:id="1">
    <w:p w14:paraId="74937C55" w14:textId="77777777" w:rsidR="00662773" w:rsidRDefault="00662773" w:rsidP="004D5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A2C6" w14:textId="77777777" w:rsidR="00662773" w:rsidRDefault="00662773" w:rsidP="004D5AAA">
      <w:r>
        <w:separator/>
      </w:r>
    </w:p>
  </w:footnote>
  <w:footnote w:type="continuationSeparator" w:id="0">
    <w:p w14:paraId="2C811105" w14:textId="77777777" w:rsidR="00662773" w:rsidRDefault="00662773" w:rsidP="004D5AAA">
      <w:r>
        <w:continuationSeparator/>
      </w:r>
    </w:p>
  </w:footnote>
  <w:footnote w:type="continuationNotice" w:id="1">
    <w:p w14:paraId="5BC742B0" w14:textId="77777777" w:rsidR="00662773" w:rsidRDefault="00662773" w:rsidP="004D5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B3058"/>
    <w:multiLevelType w:val="multilevel"/>
    <w:tmpl w:val="A06CF3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42C03"/>
    <w:multiLevelType w:val="multilevel"/>
    <w:tmpl w:val="35FC63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410951"/>
    <w:multiLevelType w:val="multilevel"/>
    <w:tmpl w:val="57D629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C0FE9"/>
    <w:multiLevelType w:val="multilevel"/>
    <w:tmpl w:val="39060D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95CCC"/>
    <w:multiLevelType w:val="multilevel"/>
    <w:tmpl w:val="70E0CA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4B"/>
    <w:rsid w:val="00012C8F"/>
    <w:rsid w:val="0001354D"/>
    <w:rsid w:val="00013CEC"/>
    <w:rsid w:val="00015ADB"/>
    <w:rsid w:val="000303F9"/>
    <w:rsid w:val="00031048"/>
    <w:rsid w:val="00035FF3"/>
    <w:rsid w:val="00046AFA"/>
    <w:rsid w:val="0005457E"/>
    <w:rsid w:val="000567FC"/>
    <w:rsid w:val="00060187"/>
    <w:rsid w:val="00073FC6"/>
    <w:rsid w:val="00080D08"/>
    <w:rsid w:val="00080EE6"/>
    <w:rsid w:val="00083F5A"/>
    <w:rsid w:val="00084196"/>
    <w:rsid w:val="00085E9E"/>
    <w:rsid w:val="00087B4A"/>
    <w:rsid w:val="00090013"/>
    <w:rsid w:val="000955F1"/>
    <w:rsid w:val="00096CC9"/>
    <w:rsid w:val="000A03DE"/>
    <w:rsid w:val="000B06C1"/>
    <w:rsid w:val="000B1E17"/>
    <w:rsid w:val="000B49F0"/>
    <w:rsid w:val="000C0E0C"/>
    <w:rsid w:val="000C70F7"/>
    <w:rsid w:val="000D11C1"/>
    <w:rsid w:val="000D360F"/>
    <w:rsid w:val="000D6779"/>
    <w:rsid w:val="000D7052"/>
    <w:rsid w:val="000E3016"/>
    <w:rsid w:val="000E7AD7"/>
    <w:rsid w:val="000F7B26"/>
    <w:rsid w:val="00114ADC"/>
    <w:rsid w:val="00122985"/>
    <w:rsid w:val="00146FB9"/>
    <w:rsid w:val="001523D2"/>
    <w:rsid w:val="001562C5"/>
    <w:rsid w:val="001564FF"/>
    <w:rsid w:val="001570F9"/>
    <w:rsid w:val="00160A58"/>
    <w:rsid w:val="00170944"/>
    <w:rsid w:val="00172441"/>
    <w:rsid w:val="001770EE"/>
    <w:rsid w:val="00180E19"/>
    <w:rsid w:val="001867E8"/>
    <w:rsid w:val="00193A26"/>
    <w:rsid w:val="00194619"/>
    <w:rsid w:val="0019579F"/>
    <w:rsid w:val="001A4C9D"/>
    <w:rsid w:val="001A69EB"/>
    <w:rsid w:val="001A7D1D"/>
    <w:rsid w:val="001B39D1"/>
    <w:rsid w:val="001B3F82"/>
    <w:rsid w:val="001B43F5"/>
    <w:rsid w:val="001C5F8D"/>
    <w:rsid w:val="001C6E39"/>
    <w:rsid w:val="001D66A5"/>
    <w:rsid w:val="001D6F00"/>
    <w:rsid w:val="001E4321"/>
    <w:rsid w:val="001F03FD"/>
    <w:rsid w:val="001F25AA"/>
    <w:rsid w:val="001F3CBE"/>
    <w:rsid w:val="0020330E"/>
    <w:rsid w:val="00203C30"/>
    <w:rsid w:val="002125BE"/>
    <w:rsid w:val="00215187"/>
    <w:rsid w:val="00220911"/>
    <w:rsid w:val="00222585"/>
    <w:rsid w:val="00232DFD"/>
    <w:rsid w:val="00233185"/>
    <w:rsid w:val="0024635B"/>
    <w:rsid w:val="00246C0C"/>
    <w:rsid w:val="00256886"/>
    <w:rsid w:val="00273686"/>
    <w:rsid w:val="00273E35"/>
    <w:rsid w:val="002963C4"/>
    <w:rsid w:val="00297C8B"/>
    <w:rsid w:val="002A2409"/>
    <w:rsid w:val="002A2995"/>
    <w:rsid w:val="002A598A"/>
    <w:rsid w:val="002C0E86"/>
    <w:rsid w:val="002C2ACB"/>
    <w:rsid w:val="002D0F3F"/>
    <w:rsid w:val="002D4525"/>
    <w:rsid w:val="002D57C8"/>
    <w:rsid w:val="002D620E"/>
    <w:rsid w:val="002D693A"/>
    <w:rsid w:val="002D6AAA"/>
    <w:rsid w:val="002E22FA"/>
    <w:rsid w:val="002E68B5"/>
    <w:rsid w:val="002F2734"/>
    <w:rsid w:val="002F6D02"/>
    <w:rsid w:val="002F7156"/>
    <w:rsid w:val="0030617E"/>
    <w:rsid w:val="00311B9A"/>
    <w:rsid w:val="0031548D"/>
    <w:rsid w:val="00321665"/>
    <w:rsid w:val="00324A89"/>
    <w:rsid w:val="00326D4A"/>
    <w:rsid w:val="00332706"/>
    <w:rsid w:val="00350317"/>
    <w:rsid w:val="0035452B"/>
    <w:rsid w:val="00356474"/>
    <w:rsid w:val="00356AEB"/>
    <w:rsid w:val="00362329"/>
    <w:rsid w:val="00363D18"/>
    <w:rsid w:val="00371723"/>
    <w:rsid w:val="003735B3"/>
    <w:rsid w:val="00381C56"/>
    <w:rsid w:val="00390078"/>
    <w:rsid w:val="003A177F"/>
    <w:rsid w:val="003A7B4A"/>
    <w:rsid w:val="003A7BF2"/>
    <w:rsid w:val="003B22B4"/>
    <w:rsid w:val="003B5A23"/>
    <w:rsid w:val="003B6487"/>
    <w:rsid w:val="003C3694"/>
    <w:rsid w:val="003D173E"/>
    <w:rsid w:val="003D4599"/>
    <w:rsid w:val="003D47E3"/>
    <w:rsid w:val="003D6B50"/>
    <w:rsid w:val="003E1921"/>
    <w:rsid w:val="003F4E5D"/>
    <w:rsid w:val="003F6B8B"/>
    <w:rsid w:val="003F7604"/>
    <w:rsid w:val="00400920"/>
    <w:rsid w:val="00403B6E"/>
    <w:rsid w:val="00410EDB"/>
    <w:rsid w:val="0041153A"/>
    <w:rsid w:val="00420D10"/>
    <w:rsid w:val="00420F3F"/>
    <w:rsid w:val="004250BE"/>
    <w:rsid w:val="0043557F"/>
    <w:rsid w:val="004379F3"/>
    <w:rsid w:val="004402D7"/>
    <w:rsid w:val="00441764"/>
    <w:rsid w:val="00442460"/>
    <w:rsid w:val="00452DDA"/>
    <w:rsid w:val="0045330B"/>
    <w:rsid w:val="00453F11"/>
    <w:rsid w:val="00461ACB"/>
    <w:rsid w:val="004636E5"/>
    <w:rsid w:val="00473D78"/>
    <w:rsid w:val="00477F4E"/>
    <w:rsid w:val="00490DA9"/>
    <w:rsid w:val="00493BE2"/>
    <w:rsid w:val="00493EB3"/>
    <w:rsid w:val="004A4223"/>
    <w:rsid w:val="004A5EA8"/>
    <w:rsid w:val="004B175C"/>
    <w:rsid w:val="004B1A4A"/>
    <w:rsid w:val="004B1DAE"/>
    <w:rsid w:val="004B4AC1"/>
    <w:rsid w:val="004B4F55"/>
    <w:rsid w:val="004C0910"/>
    <w:rsid w:val="004D5AAA"/>
    <w:rsid w:val="004F42E4"/>
    <w:rsid w:val="004F5B12"/>
    <w:rsid w:val="0050307F"/>
    <w:rsid w:val="00505930"/>
    <w:rsid w:val="00510B9E"/>
    <w:rsid w:val="00516DF0"/>
    <w:rsid w:val="00517721"/>
    <w:rsid w:val="0052020D"/>
    <w:rsid w:val="00526DC2"/>
    <w:rsid w:val="00530BA0"/>
    <w:rsid w:val="00534D1C"/>
    <w:rsid w:val="00540B65"/>
    <w:rsid w:val="005450BF"/>
    <w:rsid w:val="005469B1"/>
    <w:rsid w:val="00551860"/>
    <w:rsid w:val="005520BC"/>
    <w:rsid w:val="00563F2D"/>
    <w:rsid w:val="0056651F"/>
    <w:rsid w:val="0056741D"/>
    <w:rsid w:val="00572109"/>
    <w:rsid w:val="00573486"/>
    <w:rsid w:val="00575219"/>
    <w:rsid w:val="00576EC6"/>
    <w:rsid w:val="00577034"/>
    <w:rsid w:val="005813E9"/>
    <w:rsid w:val="00582455"/>
    <w:rsid w:val="00582FCF"/>
    <w:rsid w:val="005840FE"/>
    <w:rsid w:val="00593C5E"/>
    <w:rsid w:val="00593D1E"/>
    <w:rsid w:val="00595BA6"/>
    <w:rsid w:val="00596BC3"/>
    <w:rsid w:val="005B13D0"/>
    <w:rsid w:val="005B272C"/>
    <w:rsid w:val="005B7E8B"/>
    <w:rsid w:val="005C27D4"/>
    <w:rsid w:val="005C2A87"/>
    <w:rsid w:val="005C353E"/>
    <w:rsid w:val="005C58CE"/>
    <w:rsid w:val="005C6B1A"/>
    <w:rsid w:val="005D0061"/>
    <w:rsid w:val="005D5414"/>
    <w:rsid w:val="005E2E10"/>
    <w:rsid w:val="005F30EF"/>
    <w:rsid w:val="005F55C9"/>
    <w:rsid w:val="00602097"/>
    <w:rsid w:val="0060673B"/>
    <w:rsid w:val="00612F03"/>
    <w:rsid w:val="00614D23"/>
    <w:rsid w:val="0061698B"/>
    <w:rsid w:val="00616ACD"/>
    <w:rsid w:val="00620352"/>
    <w:rsid w:val="00620B1E"/>
    <w:rsid w:val="00622B4C"/>
    <w:rsid w:val="006230A0"/>
    <w:rsid w:val="00623FA1"/>
    <w:rsid w:val="00625F61"/>
    <w:rsid w:val="00631EAA"/>
    <w:rsid w:val="00633A37"/>
    <w:rsid w:val="00634711"/>
    <w:rsid w:val="00647BC0"/>
    <w:rsid w:val="00650ED7"/>
    <w:rsid w:val="006529ED"/>
    <w:rsid w:val="00652DE0"/>
    <w:rsid w:val="0065494C"/>
    <w:rsid w:val="00661368"/>
    <w:rsid w:val="00661CAD"/>
    <w:rsid w:val="00662773"/>
    <w:rsid w:val="00667386"/>
    <w:rsid w:val="00670365"/>
    <w:rsid w:val="00675059"/>
    <w:rsid w:val="0067553F"/>
    <w:rsid w:val="00682ECF"/>
    <w:rsid w:val="006848B0"/>
    <w:rsid w:val="006859C2"/>
    <w:rsid w:val="0068753D"/>
    <w:rsid w:val="006910F4"/>
    <w:rsid w:val="006928C7"/>
    <w:rsid w:val="006A0FAF"/>
    <w:rsid w:val="006B0B4B"/>
    <w:rsid w:val="006C4ECA"/>
    <w:rsid w:val="006D0C8C"/>
    <w:rsid w:val="006D51D3"/>
    <w:rsid w:val="006E0E27"/>
    <w:rsid w:val="006E3911"/>
    <w:rsid w:val="006E4187"/>
    <w:rsid w:val="006E4ADF"/>
    <w:rsid w:val="006E4EFD"/>
    <w:rsid w:val="006F3886"/>
    <w:rsid w:val="006F63BE"/>
    <w:rsid w:val="007014BF"/>
    <w:rsid w:val="0070207F"/>
    <w:rsid w:val="00703D11"/>
    <w:rsid w:val="0071604A"/>
    <w:rsid w:val="007209F2"/>
    <w:rsid w:val="00726BD4"/>
    <w:rsid w:val="00730528"/>
    <w:rsid w:val="00740B2A"/>
    <w:rsid w:val="00741F36"/>
    <w:rsid w:val="00750CD6"/>
    <w:rsid w:val="00757E64"/>
    <w:rsid w:val="00763392"/>
    <w:rsid w:val="00763C65"/>
    <w:rsid w:val="00771ED7"/>
    <w:rsid w:val="00775082"/>
    <w:rsid w:val="0078279E"/>
    <w:rsid w:val="00783FD1"/>
    <w:rsid w:val="0078477E"/>
    <w:rsid w:val="00797010"/>
    <w:rsid w:val="007A1E82"/>
    <w:rsid w:val="007A40D5"/>
    <w:rsid w:val="007B11A3"/>
    <w:rsid w:val="007B4E3F"/>
    <w:rsid w:val="007B79A5"/>
    <w:rsid w:val="007C23B4"/>
    <w:rsid w:val="007C32DF"/>
    <w:rsid w:val="007D49FA"/>
    <w:rsid w:val="007D7F42"/>
    <w:rsid w:val="007E0CBF"/>
    <w:rsid w:val="007E34BE"/>
    <w:rsid w:val="007E4E19"/>
    <w:rsid w:val="00820FB1"/>
    <w:rsid w:val="0082265A"/>
    <w:rsid w:val="00824DE5"/>
    <w:rsid w:val="00825D7C"/>
    <w:rsid w:val="00827978"/>
    <w:rsid w:val="00832923"/>
    <w:rsid w:val="008335C0"/>
    <w:rsid w:val="0083472A"/>
    <w:rsid w:val="00834E45"/>
    <w:rsid w:val="00835522"/>
    <w:rsid w:val="00836B7A"/>
    <w:rsid w:val="00842117"/>
    <w:rsid w:val="0084274D"/>
    <w:rsid w:val="00857C54"/>
    <w:rsid w:val="0086204B"/>
    <w:rsid w:val="008646A2"/>
    <w:rsid w:val="00872E15"/>
    <w:rsid w:val="00885C2B"/>
    <w:rsid w:val="00886D71"/>
    <w:rsid w:val="0089651F"/>
    <w:rsid w:val="008A00EC"/>
    <w:rsid w:val="008A0B21"/>
    <w:rsid w:val="008A4564"/>
    <w:rsid w:val="008B337D"/>
    <w:rsid w:val="008B4A3B"/>
    <w:rsid w:val="008B5AAF"/>
    <w:rsid w:val="008C392D"/>
    <w:rsid w:val="008C6528"/>
    <w:rsid w:val="008D00C7"/>
    <w:rsid w:val="008D1F30"/>
    <w:rsid w:val="008F627B"/>
    <w:rsid w:val="008F6C27"/>
    <w:rsid w:val="008F78A6"/>
    <w:rsid w:val="0090041F"/>
    <w:rsid w:val="009006A9"/>
    <w:rsid w:val="00902185"/>
    <w:rsid w:val="00902EBD"/>
    <w:rsid w:val="0090471F"/>
    <w:rsid w:val="00905576"/>
    <w:rsid w:val="00913D1D"/>
    <w:rsid w:val="0092668B"/>
    <w:rsid w:val="0092EFD4"/>
    <w:rsid w:val="009300DB"/>
    <w:rsid w:val="00930828"/>
    <w:rsid w:val="00933DDF"/>
    <w:rsid w:val="009356E8"/>
    <w:rsid w:val="0094748F"/>
    <w:rsid w:val="00950279"/>
    <w:rsid w:val="009505DF"/>
    <w:rsid w:val="009509AA"/>
    <w:rsid w:val="009529DF"/>
    <w:rsid w:val="00953E1A"/>
    <w:rsid w:val="009565C1"/>
    <w:rsid w:val="0095777D"/>
    <w:rsid w:val="00960696"/>
    <w:rsid w:val="009608DD"/>
    <w:rsid w:val="00964716"/>
    <w:rsid w:val="00966DC6"/>
    <w:rsid w:val="009672E3"/>
    <w:rsid w:val="00967F9E"/>
    <w:rsid w:val="0097328C"/>
    <w:rsid w:val="009745D8"/>
    <w:rsid w:val="00975E27"/>
    <w:rsid w:val="009817A8"/>
    <w:rsid w:val="00983212"/>
    <w:rsid w:val="00983E39"/>
    <w:rsid w:val="009A2549"/>
    <w:rsid w:val="009A7E61"/>
    <w:rsid w:val="009B15AD"/>
    <w:rsid w:val="009B5721"/>
    <w:rsid w:val="009C213D"/>
    <w:rsid w:val="009C5B96"/>
    <w:rsid w:val="009D1DAF"/>
    <w:rsid w:val="009D353A"/>
    <w:rsid w:val="009D45FC"/>
    <w:rsid w:val="009D60A3"/>
    <w:rsid w:val="009F78E7"/>
    <w:rsid w:val="00A038C3"/>
    <w:rsid w:val="00A07C73"/>
    <w:rsid w:val="00A121FD"/>
    <w:rsid w:val="00A12C81"/>
    <w:rsid w:val="00A12E72"/>
    <w:rsid w:val="00A130F8"/>
    <w:rsid w:val="00A142B3"/>
    <w:rsid w:val="00A20394"/>
    <w:rsid w:val="00A2074A"/>
    <w:rsid w:val="00A20C85"/>
    <w:rsid w:val="00A20EFF"/>
    <w:rsid w:val="00A33B63"/>
    <w:rsid w:val="00A35DD1"/>
    <w:rsid w:val="00A42673"/>
    <w:rsid w:val="00A4441B"/>
    <w:rsid w:val="00A445F4"/>
    <w:rsid w:val="00A565B5"/>
    <w:rsid w:val="00A64E43"/>
    <w:rsid w:val="00A66323"/>
    <w:rsid w:val="00A76411"/>
    <w:rsid w:val="00A8450A"/>
    <w:rsid w:val="00A91A1C"/>
    <w:rsid w:val="00A9552A"/>
    <w:rsid w:val="00AA0A4D"/>
    <w:rsid w:val="00AB1F1D"/>
    <w:rsid w:val="00AB4E44"/>
    <w:rsid w:val="00AB7FB8"/>
    <w:rsid w:val="00AD3087"/>
    <w:rsid w:val="00AE2992"/>
    <w:rsid w:val="00AE49CD"/>
    <w:rsid w:val="00AE6844"/>
    <w:rsid w:val="00B02353"/>
    <w:rsid w:val="00B06DEB"/>
    <w:rsid w:val="00B10D92"/>
    <w:rsid w:val="00B115E7"/>
    <w:rsid w:val="00B14A74"/>
    <w:rsid w:val="00B23AA8"/>
    <w:rsid w:val="00B248A9"/>
    <w:rsid w:val="00B2765E"/>
    <w:rsid w:val="00B307C2"/>
    <w:rsid w:val="00B3134B"/>
    <w:rsid w:val="00B33AEC"/>
    <w:rsid w:val="00B43D64"/>
    <w:rsid w:val="00B4563C"/>
    <w:rsid w:val="00B46F74"/>
    <w:rsid w:val="00B50F87"/>
    <w:rsid w:val="00B52E99"/>
    <w:rsid w:val="00B5368E"/>
    <w:rsid w:val="00B61156"/>
    <w:rsid w:val="00B63775"/>
    <w:rsid w:val="00B712A8"/>
    <w:rsid w:val="00B7721E"/>
    <w:rsid w:val="00B816A9"/>
    <w:rsid w:val="00B8474B"/>
    <w:rsid w:val="00B86FA1"/>
    <w:rsid w:val="00B90350"/>
    <w:rsid w:val="00B916C2"/>
    <w:rsid w:val="00B93677"/>
    <w:rsid w:val="00B975DC"/>
    <w:rsid w:val="00B97B4B"/>
    <w:rsid w:val="00BA43C5"/>
    <w:rsid w:val="00BB44AB"/>
    <w:rsid w:val="00BD32E8"/>
    <w:rsid w:val="00BE0212"/>
    <w:rsid w:val="00BE18F8"/>
    <w:rsid w:val="00BE1CF3"/>
    <w:rsid w:val="00BE7EBC"/>
    <w:rsid w:val="00BF3454"/>
    <w:rsid w:val="00C008AB"/>
    <w:rsid w:val="00C02442"/>
    <w:rsid w:val="00C03153"/>
    <w:rsid w:val="00C0639C"/>
    <w:rsid w:val="00C0653C"/>
    <w:rsid w:val="00C079A8"/>
    <w:rsid w:val="00C11549"/>
    <w:rsid w:val="00C151F3"/>
    <w:rsid w:val="00C2273A"/>
    <w:rsid w:val="00C23113"/>
    <w:rsid w:val="00C2327E"/>
    <w:rsid w:val="00C27067"/>
    <w:rsid w:val="00C301E1"/>
    <w:rsid w:val="00C31E0B"/>
    <w:rsid w:val="00C36DE4"/>
    <w:rsid w:val="00C37DEE"/>
    <w:rsid w:val="00C40317"/>
    <w:rsid w:val="00C4068D"/>
    <w:rsid w:val="00C45AF2"/>
    <w:rsid w:val="00C46E7F"/>
    <w:rsid w:val="00C472DA"/>
    <w:rsid w:val="00C4798B"/>
    <w:rsid w:val="00C54D09"/>
    <w:rsid w:val="00C6106D"/>
    <w:rsid w:val="00C665E2"/>
    <w:rsid w:val="00C807CF"/>
    <w:rsid w:val="00C8269E"/>
    <w:rsid w:val="00C8305A"/>
    <w:rsid w:val="00C83BA8"/>
    <w:rsid w:val="00C83FAD"/>
    <w:rsid w:val="00C84E81"/>
    <w:rsid w:val="00C84F15"/>
    <w:rsid w:val="00C90C81"/>
    <w:rsid w:val="00CA53F1"/>
    <w:rsid w:val="00CB066F"/>
    <w:rsid w:val="00CB13C6"/>
    <w:rsid w:val="00CC665A"/>
    <w:rsid w:val="00CD356C"/>
    <w:rsid w:val="00CD39E3"/>
    <w:rsid w:val="00CD688E"/>
    <w:rsid w:val="00CF3495"/>
    <w:rsid w:val="00CF7382"/>
    <w:rsid w:val="00D003FB"/>
    <w:rsid w:val="00D036BE"/>
    <w:rsid w:val="00D0382C"/>
    <w:rsid w:val="00D04D90"/>
    <w:rsid w:val="00D0601D"/>
    <w:rsid w:val="00D1029A"/>
    <w:rsid w:val="00D10764"/>
    <w:rsid w:val="00D12A56"/>
    <w:rsid w:val="00D1737B"/>
    <w:rsid w:val="00D17B2B"/>
    <w:rsid w:val="00D22DDD"/>
    <w:rsid w:val="00D231B4"/>
    <w:rsid w:val="00D40E18"/>
    <w:rsid w:val="00D51B7E"/>
    <w:rsid w:val="00D5265F"/>
    <w:rsid w:val="00D5333C"/>
    <w:rsid w:val="00D664EF"/>
    <w:rsid w:val="00D70BDA"/>
    <w:rsid w:val="00D71F21"/>
    <w:rsid w:val="00D77A93"/>
    <w:rsid w:val="00D82262"/>
    <w:rsid w:val="00D831C6"/>
    <w:rsid w:val="00D83EF7"/>
    <w:rsid w:val="00D86154"/>
    <w:rsid w:val="00D920F1"/>
    <w:rsid w:val="00D9323B"/>
    <w:rsid w:val="00D95028"/>
    <w:rsid w:val="00D9530C"/>
    <w:rsid w:val="00DA2D36"/>
    <w:rsid w:val="00DA4FEC"/>
    <w:rsid w:val="00DB1530"/>
    <w:rsid w:val="00DC7CCF"/>
    <w:rsid w:val="00DD0FF4"/>
    <w:rsid w:val="00DD1BE2"/>
    <w:rsid w:val="00DE1514"/>
    <w:rsid w:val="00DE55A1"/>
    <w:rsid w:val="00DF2B83"/>
    <w:rsid w:val="00DF72EA"/>
    <w:rsid w:val="00E03793"/>
    <w:rsid w:val="00E05A34"/>
    <w:rsid w:val="00E06F55"/>
    <w:rsid w:val="00E104C0"/>
    <w:rsid w:val="00E25B06"/>
    <w:rsid w:val="00E40108"/>
    <w:rsid w:val="00E410E0"/>
    <w:rsid w:val="00E423D4"/>
    <w:rsid w:val="00E56AC6"/>
    <w:rsid w:val="00E57777"/>
    <w:rsid w:val="00E841FF"/>
    <w:rsid w:val="00EA6738"/>
    <w:rsid w:val="00EB4B54"/>
    <w:rsid w:val="00EC55A7"/>
    <w:rsid w:val="00EC6675"/>
    <w:rsid w:val="00EC6EC0"/>
    <w:rsid w:val="00ED2DE0"/>
    <w:rsid w:val="00ED2E13"/>
    <w:rsid w:val="00ED6E36"/>
    <w:rsid w:val="00EE3348"/>
    <w:rsid w:val="00EF1504"/>
    <w:rsid w:val="00EF2D7A"/>
    <w:rsid w:val="00EF4A76"/>
    <w:rsid w:val="00F01DF5"/>
    <w:rsid w:val="00F17298"/>
    <w:rsid w:val="00F237EA"/>
    <w:rsid w:val="00F23E0D"/>
    <w:rsid w:val="00F240C7"/>
    <w:rsid w:val="00F30D8B"/>
    <w:rsid w:val="00F3191F"/>
    <w:rsid w:val="00F31E5F"/>
    <w:rsid w:val="00F36165"/>
    <w:rsid w:val="00F4768C"/>
    <w:rsid w:val="00F53052"/>
    <w:rsid w:val="00F55943"/>
    <w:rsid w:val="00F55F43"/>
    <w:rsid w:val="00F616BD"/>
    <w:rsid w:val="00F61EA0"/>
    <w:rsid w:val="00F6307F"/>
    <w:rsid w:val="00F66080"/>
    <w:rsid w:val="00F7187F"/>
    <w:rsid w:val="00F72E0B"/>
    <w:rsid w:val="00F77AF0"/>
    <w:rsid w:val="00F811C4"/>
    <w:rsid w:val="00F83080"/>
    <w:rsid w:val="00F913E6"/>
    <w:rsid w:val="00FA404A"/>
    <w:rsid w:val="00FA7275"/>
    <w:rsid w:val="00FB0B95"/>
    <w:rsid w:val="00FB0DE0"/>
    <w:rsid w:val="00FB1368"/>
    <w:rsid w:val="00FB3AB7"/>
    <w:rsid w:val="00FC2D42"/>
    <w:rsid w:val="00FD6F0C"/>
    <w:rsid w:val="00FE04A1"/>
    <w:rsid w:val="00FE4F22"/>
    <w:rsid w:val="00FE5CA7"/>
    <w:rsid w:val="00FF0FF8"/>
    <w:rsid w:val="00FF682F"/>
    <w:rsid w:val="06442E0A"/>
    <w:rsid w:val="06523749"/>
    <w:rsid w:val="085FF0A3"/>
    <w:rsid w:val="09E01536"/>
    <w:rsid w:val="0BA22A62"/>
    <w:rsid w:val="0FAF35D7"/>
    <w:rsid w:val="12DBA6AA"/>
    <w:rsid w:val="1510427C"/>
    <w:rsid w:val="1B09D374"/>
    <w:rsid w:val="1D0C6764"/>
    <w:rsid w:val="1D627DD5"/>
    <w:rsid w:val="1E27C2D8"/>
    <w:rsid w:val="20C7CAC0"/>
    <w:rsid w:val="22243675"/>
    <w:rsid w:val="2360C297"/>
    <w:rsid w:val="23DF1CDD"/>
    <w:rsid w:val="25F49C64"/>
    <w:rsid w:val="2DFBF00A"/>
    <w:rsid w:val="31043C88"/>
    <w:rsid w:val="32D15904"/>
    <w:rsid w:val="3541A7B2"/>
    <w:rsid w:val="3691577C"/>
    <w:rsid w:val="3E6FCD17"/>
    <w:rsid w:val="4161DF72"/>
    <w:rsid w:val="4693A5E5"/>
    <w:rsid w:val="4747C401"/>
    <w:rsid w:val="4747FE67"/>
    <w:rsid w:val="504D7B6F"/>
    <w:rsid w:val="5167DBBB"/>
    <w:rsid w:val="51F5EF47"/>
    <w:rsid w:val="567D67A8"/>
    <w:rsid w:val="5C50F3A4"/>
    <w:rsid w:val="5CF896E0"/>
    <w:rsid w:val="5F0435EE"/>
    <w:rsid w:val="603D97F3"/>
    <w:rsid w:val="618BCA64"/>
    <w:rsid w:val="647B56A3"/>
    <w:rsid w:val="7316786D"/>
    <w:rsid w:val="7574F1E4"/>
    <w:rsid w:val="76B40B84"/>
    <w:rsid w:val="76B4F3CA"/>
    <w:rsid w:val="76DA9B7F"/>
    <w:rsid w:val="7710C245"/>
    <w:rsid w:val="79AB073D"/>
    <w:rsid w:val="7AF85DFB"/>
    <w:rsid w:val="7B39205F"/>
    <w:rsid w:val="7F7D37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C977A9"/>
  <w15:chartTrackingRefBased/>
  <w15:docId w15:val="{DCAF6A7F-0D3A-46F3-8A62-6794DD50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A"/>
    <w:pPr>
      <w:spacing w:after="280" w:line="276" w:lineRule="auto"/>
    </w:pPr>
    <w:rPr>
      <w:rFonts w:ascii="Arial" w:hAnsi="Arial" w:cs="Arial"/>
      <w:sz w:val="36"/>
      <w:szCs w:val="36"/>
    </w:rPr>
  </w:style>
  <w:style w:type="paragraph" w:styleId="Heading1">
    <w:name w:val="heading 1"/>
    <w:basedOn w:val="Normal"/>
    <w:next w:val="Normal"/>
    <w:link w:val="Heading1Char"/>
    <w:uiPriority w:val="9"/>
    <w:qFormat/>
    <w:rsid w:val="004D5AAA"/>
    <w:pPr>
      <w:spacing w:before="600"/>
      <w:outlineLvl w:val="0"/>
    </w:pPr>
    <w:rPr>
      <w:rFonts w:eastAsia="Times New Roman"/>
      <w:b/>
      <w:bCs/>
      <w:color w:val="000000"/>
      <w:sz w:val="60"/>
      <w:szCs w:val="60"/>
      <w:lang w:eastAsia="en-NZ"/>
    </w:rPr>
  </w:style>
  <w:style w:type="paragraph" w:styleId="Heading2">
    <w:name w:val="heading 2"/>
    <w:basedOn w:val="Normal"/>
    <w:next w:val="Normal"/>
    <w:link w:val="Heading2Char"/>
    <w:uiPriority w:val="9"/>
    <w:unhideWhenUsed/>
    <w:qFormat/>
    <w:rsid w:val="004D5AAA"/>
    <w:pPr>
      <w:spacing w:before="400" w:after="200"/>
      <w:outlineLvl w:val="1"/>
    </w:pPr>
    <w:rPr>
      <w:rFonts w:eastAsia="Times New Roman"/>
      <w:b/>
      <w:bCs/>
      <w:color w:val="000000"/>
      <w:sz w:val="52"/>
      <w:lang w:eastAsia="en-NZ"/>
    </w:rPr>
  </w:style>
  <w:style w:type="paragraph" w:styleId="Heading3">
    <w:name w:val="heading 3"/>
    <w:basedOn w:val="Normal"/>
    <w:next w:val="Normal"/>
    <w:link w:val="Heading3Char"/>
    <w:uiPriority w:val="9"/>
    <w:unhideWhenUsed/>
    <w:qFormat/>
    <w:rsid w:val="004D5AAA"/>
    <w:pPr>
      <w:spacing w:before="400" w:after="160"/>
      <w:outlineLvl w:val="2"/>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530C"/>
    <w:rPr>
      <w:sz w:val="16"/>
      <w:szCs w:val="16"/>
    </w:rPr>
  </w:style>
  <w:style w:type="paragraph" w:styleId="CommentText">
    <w:name w:val="annotation text"/>
    <w:basedOn w:val="Normal"/>
    <w:link w:val="CommentTextChar"/>
    <w:uiPriority w:val="99"/>
    <w:unhideWhenUsed/>
    <w:rsid w:val="00D9530C"/>
    <w:pPr>
      <w:spacing w:line="240" w:lineRule="auto"/>
    </w:pPr>
    <w:rPr>
      <w:sz w:val="20"/>
      <w:szCs w:val="20"/>
    </w:rPr>
  </w:style>
  <w:style w:type="character" w:customStyle="1" w:styleId="CommentTextChar">
    <w:name w:val="Comment Text Char"/>
    <w:basedOn w:val="DefaultParagraphFont"/>
    <w:link w:val="CommentText"/>
    <w:uiPriority w:val="99"/>
    <w:rsid w:val="00D9530C"/>
    <w:rPr>
      <w:sz w:val="20"/>
      <w:szCs w:val="20"/>
    </w:rPr>
  </w:style>
  <w:style w:type="paragraph" w:styleId="CommentSubject">
    <w:name w:val="annotation subject"/>
    <w:basedOn w:val="CommentText"/>
    <w:next w:val="CommentText"/>
    <w:link w:val="CommentSubjectChar"/>
    <w:uiPriority w:val="99"/>
    <w:semiHidden/>
    <w:unhideWhenUsed/>
    <w:rsid w:val="00D9530C"/>
    <w:rPr>
      <w:b/>
      <w:bCs/>
    </w:rPr>
  </w:style>
  <w:style w:type="character" w:customStyle="1" w:styleId="CommentSubjectChar">
    <w:name w:val="Comment Subject Char"/>
    <w:basedOn w:val="CommentTextChar"/>
    <w:link w:val="CommentSubject"/>
    <w:uiPriority w:val="99"/>
    <w:semiHidden/>
    <w:rsid w:val="00D9530C"/>
    <w:rPr>
      <w:b/>
      <w:bCs/>
      <w:sz w:val="20"/>
      <w:szCs w:val="20"/>
    </w:rPr>
  </w:style>
  <w:style w:type="character" w:styleId="Hyperlink">
    <w:name w:val="Hyperlink"/>
    <w:basedOn w:val="DefaultParagraphFont"/>
    <w:uiPriority w:val="99"/>
    <w:unhideWhenUsed/>
    <w:rsid w:val="0030617E"/>
    <w:rPr>
      <w:color w:val="0000FF"/>
      <w:u w:val="single"/>
    </w:rPr>
  </w:style>
  <w:style w:type="paragraph" w:customStyle="1" w:styleId="SSCBodytext">
    <w:name w:val="SSC Body text"/>
    <w:basedOn w:val="Normal"/>
    <w:link w:val="SSCBodytextChar"/>
    <w:qFormat/>
    <w:rsid w:val="00AB4E44"/>
    <w:pPr>
      <w:spacing w:after="120" w:line="240" w:lineRule="auto"/>
      <w:jc w:val="both"/>
    </w:pPr>
    <w:rPr>
      <w:rFonts w:eastAsia="Times New Roman" w:cs="Times New Roman"/>
      <w:lang w:val="en-NZ" w:eastAsia="en-NZ"/>
    </w:rPr>
  </w:style>
  <w:style w:type="character" w:customStyle="1" w:styleId="SSCBodytextChar">
    <w:name w:val="SSC Body text Char"/>
    <w:link w:val="SSCBodytext"/>
    <w:rsid w:val="00AB4E44"/>
    <w:rPr>
      <w:rFonts w:ascii="Arial" w:eastAsia="Times New Roman" w:hAnsi="Arial" w:cs="Times New Roman"/>
      <w:lang w:val="en-NZ" w:eastAsia="en-NZ"/>
    </w:rPr>
  </w:style>
  <w:style w:type="paragraph" w:styleId="ListParagraph">
    <w:name w:val="List Paragraph"/>
    <w:basedOn w:val="Normal"/>
    <w:uiPriority w:val="34"/>
    <w:qFormat/>
    <w:rsid w:val="00E57777"/>
    <w:pPr>
      <w:ind w:left="720"/>
      <w:contextualSpacing/>
    </w:pPr>
  </w:style>
  <w:style w:type="paragraph" w:styleId="Header">
    <w:name w:val="header"/>
    <w:basedOn w:val="Normal"/>
    <w:link w:val="HeaderChar"/>
    <w:uiPriority w:val="99"/>
    <w:semiHidden/>
    <w:unhideWhenUsed/>
    <w:rsid w:val="006529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087"/>
  </w:style>
  <w:style w:type="paragraph" w:styleId="Footer">
    <w:name w:val="footer"/>
    <w:basedOn w:val="Normal"/>
    <w:link w:val="FooterChar"/>
    <w:uiPriority w:val="99"/>
    <w:semiHidden/>
    <w:unhideWhenUsed/>
    <w:rsid w:val="006529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3087"/>
  </w:style>
  <w:style w:type="paragraph" w:styleId="Revision">
    <w:name w:val="Revision"/>
    <w:hidden/>
    <w:uiPriority w:val="99"/>
    <w:semiHidden/>
    <w:rsid w:val="00C807CF"/>
    <w:pPr>
      <w:spacing w:after="0" w:line="240" w:lineRule="auto"/>
    </w:pPr>
  </w:style>
  <w:style w:type="character" w:styleId="Mention">
    <w:name w:val="Mention"/>
    <w:basedOn w:val="DefaultParagraphFont"/>
    <w:uiPriority w:val="99"/>
    <w:unhideWhenUsed/>
    <w:rsid w:val="007A40D5"/>
    <w:rPr>
      <w:color w:val="2B579A"/>
      <w:shd w:val="clear" w:color="auto" w:fill="E1DFDD"/>
    </w:rPr>
  </w:style>
  <w:style w:type="character" w:styleId="UnresolvedMention">
    <w:name w:val="Unresolved Mention"/>
    <w:basedOn w:val="DefaultParagraphFont"/>
    <w:uiPriority w:val="99"/>
    <w:semiHidden/>
    <w:unhideWhenUsed/>
    <w:rsid w:val="00A8450A"/>
    <w:rPr>
      <w:color w:val="605E5C"/>
      <w:shd w:val="clear" w:color="auto" w:fill="E1DFDD"/>
    </w:rPr>
  </w:style>
  <w:style w:type="character" w:styleId="FollowedHyperlink">
    <w:name w:val="FollowedHyperlink"/>
    <w:basedOn w:val="DefaultParagraphFont"/>
    <w:uiPriority w:val="99"/>
    <w:semiHidden/>
    <w:unhideWhenUsed/>
    <w:rsid w:val="00A8450A"/>
    <w:rPr>
      <w:color w:val="954F72" w:themeColor="followedHyperlink"/>
      <w:u w:val="single"/>
    </w:rPr>
  </w:style>
  <w:style w:type="character" w:customStyle="1" w:styleId="Heading1Char">
    <w:name w:val="Heading 1 Char"/>
    <w:basedOn w:val="DefaultParagraphFont"/>
    <w:link w:val="Heading1"/>
    <w:uiPriority w:val="9"/>
    <w:rsid w:val="004D5AAA"/>
    <w:rPr>
      <w:rFonts w:ascii="Arial" w:eastAsia="Times New Roman" w:hAnsi="Arial" w:cs="Arial"/>
      <w:b/>
      <w:bCs/>
      <w:color w:val="000000"/>
      <w:sz w:val="60"/>
      <w:szCs w:val="60"/>
      <w:lang w:eastAsia="en-NZ"/>
    </w:rPr>
  </w:style>
  <w:style w:type="character" w:customStyle="1" w:styleId="Heading2Char">
    <w:name w:val="Heading 2 Char"/>
    <w:basedOn w:val="DefaultParagraphFont"/>
    <w:link w:val="Heading2"/>
    <w:uiPriority w:val="9"/>
    <w:rsid w:val="004D5AAA"/>
    <w:rPr>
      <w:rFonts w:ascii="Arial" w:eastAsia="Times New Roman" w:hAnsi="Arial" w:cs="Arial"/>
      <w:b/>
      <w:bCs/>
      <w:color w:val="000000"/>
      <w:sz w:val="52"/>
      <w:szCs w:val="36"/>
      <w:lang w:eastAsia="en-NZ"/>
    </w:rPr>
  </w:style>
  <w:style w:type="character" w:customStyle="1" w:styleId="Heading3Char">
    <w:name w:val="Heading 3 Char"/>
    <w:basedOn w:val="DefaultParagraphFont"/>
    <w:link w:val="Heading3"/>
    <w:uiPriority w:val="9"/>
    <w:rsid w:val="004D5AAA"/>
    <w:rPr>
      <w:rFonts w:ascii="Arial" w:hAnsi="Arial" w:cs="Arial"/>
      <w:b/>
      <w:sz w:val="4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48r7nnz9" TargetMode="External"/><Relationship Id="rId18" Type="http://schemas.openxmlformats.org/officeDocument/2006/relationships/hyperlink" Target="https://www.publicservice.govt.nz/guidance/general-election-guidance-2023/public-servants-at-work/" TargetMode="External"/><Relationship Id="rId26" Type="http://schemas.openxmlformats.org/officeDocument/2006/relationships/hyperlink" Target="https://www.publicservice.govt.nz/guidance/general-election-guidance-2023/the-public-sector-and-the-general-election/" TargetMode="External"/><Relationship Id="rId3" Type="http://schemas.openxmlformats.org/officeDocument/2006/relationships/customXml" Target="../customXml/item3.xml"/><Relationship Id="rId21" Type="http://schemas.openxmlformats.org/officeDocument/2006/relationships/hyperlink" Target="https://tinyurl.com/4dxmf668" TargetMode="External"/><Relationship Id="rId7" Type="http://schemas.openxmlformats.org/officeDocument/2006/relationships/settings" Target="settings.xml"/><Relationship Id="rId12" Type="http://schemas.openxmlformats.org/officeDocument/2006/relationships/hyperlink" Target="https://www.publicservice.govt.nz/guidance/general-election-guidance-2023/introduction/" TargetMode="External"/><Relationship Id="rId17" Type="http://schemas.openxmlformats.org/officeDocument/2006/relationships/hyperlink" Target="https://tinyurl.com/2akthpy7" TargetMode="External"/><Relationship Id="rId25" Type="http://schemas.openxmlformats.org/officeDocument/2006/relationships/hyperlink" Target="https://tinyurl.com/msstjjdj" TargetMode="External"/><Relationship Id="rId2" Type="http://schemas.openxmlformats.org/officeDocument/2006/relationships/customXml" Target="../customXml/item2.xml"/><Relationship Id="rId16" Type="http://schemas.openxmlformats.org/officeDocument/2006/relationships/hyperlink" Target="https://www.publicservice.govt.nz/guidance/general-election-guidance-2023/appendix-a-case-studies/" TargetMode="External"/><Relationship Id="rId20" Type="http://schemas.openxmlformats.org/officeDocument/2006/relationships/hyperlink" Target="https://www.publicservice.govt.nz/guidance/general-election-guidance-2023/public-servants-outside-work/" TargetMode="External"/><Relationship Id="rId29" Type="http://schemas.openxmlformats.org/officeDocument/2006/relationships/hyperlink" Target="https://tinyurl.com/2yhjjxb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ublicservice.govt.nz/guidance/general-election-guidance-2023/public-sector-advertising-publicity-and-the-medi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inyurl.com/4m5h6cjb" TargetMode="External"/><Relationship Id="rId23" Type="http://schemas.openxmlformats.org/officeDocument/2006/relationships/hyperlink" Target="https://tinyurl.com/2tdcaxjk" TargetMode="External"/><Relationship Id="rId28" Type="http://schemas.openxmlformats.org/officeDocument/2006/relationships/hyperlink" Target="https://www.publicservice.govt.nz/guidance/general-election-guidance-2023/government-processes-before-during-and-after-an-election/" TargetMode="External"/><Relationship Id="rId10" Type="http://schemas.openxmlformats.org/officeDocument/2006/relationships/endnotes" Target="endnotes.xml"/><Relationship Id="rId19" Type="http://schemas.openxmlformats.org/officeDocument/2006/relationships/hyperlink" Target="https://tinyurl.com/jjc7ety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service.govt.nz/guidance/general-election-guidance-2023/" TargetMode="External"/><Relationship Id="rId22" Type="http://schemas.openxmlformats.org/officeDocument/2006/relationships/hyperlink" Target="https://www.publicservice.govt.nz/guidance/general-election-guidance-2023/responsibilities-of-public-sector-agencies/" TargetMode="External"/><Relationship Id="rId27" Type="http://schemas.openxmlformats.org/officeDocument/2006/relationships/hyperlink" Target="https://tinyurl.com/yk7skkma" TargetMode="External"/><Relationship Id="rId30" Type="http://schemas.openxmlformats.org/officeDocument/2006/relationships/hyperlink" Target="mailto:election@publicservic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1EE6D-89B2-486D-8B56-125CFC8B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411AF-C0A9-4AC4-8870-9EC6B175AB6B}">
  <ds:schemaRefs>
    <ds:schemaRef ds:uri="http://schemas.microsoft.com/sharepoint/v3/contenttype/forms"/>
  </ds:schemaRefs>
</ds:datastoreItem>
</file>

<file path=customXml/itemProps3.xml><?xml version="1.0" encoding="utf-8"?>
<ds:datastoreItem xmlns:ds="http://schemas.openxmlformats.org/officeDocument/2006/customXml" ds:itemID="{4F5B8701-75D3-4F50-A8EC-1957074E0390}">
  <ds:schemaRefs>
    <ds:schemaRef ds:uri="6a7f7810-7080-4eb4-b66c-c41c6fc69d87"/>
    <ds:schemaRef ds:uri="http://schemas.microsoft.com/office/2006/metadata/properties"/>
    <ds:schemaRef ds:uri="http://www.w3.org/XML/1998/namespace"/>
    <ds:schemaRef ds:uri="http://schemas.microsoft.com/office/2006/documentManagement/types"/>
    <ds:schemaRef ds:uri="0c8419a8-0969-48de-a896-901fe0661d3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94C1678-59E9-4FC5-BF69-ADE2D645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Links>
    <vt:vector size="6" baseType="variant">
      <vt:variant>
        <vt:i4>2162725</vt:i4>
      </vt:variant>
      <vt:variant>
        <vt:i4>0</vt:i4>
      </vt:variant>
      <vt:variant>
        <vt:i4>0</vt:i4>
      </vt:variant>
      <vt:variant>
        <vt:i4>5</vt:i4>
      </vt:variant>
      <vt:variant>
        <vt:lpwstr>https://dpmc.govt.nz/our-business-units/cabinet-office/supporting-work-cabinet/cabinet-manual/6-elections-transitions-3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Cross</dc:creator>
  <cp:keywords/>
  <dc:description/>
  <cp:lastModifiedBy> </cp:lastModifiedBy>
  <cp:revision>12</cp:revision>
  <cp:lastPrinted>2023-02-10T21:29:00Z</cp:lastPrinted>
  <dcterms:created xsi:type="dcterms:W3CDTF">2023-03-07T00:29:00Z</dcterms:created>
  <dcterms:modified xsi:type="dcterms:W3CDTF">2023-03-09T18:38:00Z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y fmtid="{D5CDD505-2E9C-101B-9397-08002B2CF9AE}" pid="4" name="_dlc_DocIdItemGuid">
    <vt:lpwstr>94f58dbc-33e8-4d8f-b8f5-014e71f445ee</vt:lpwstr>
  </property>
</Properties>
</file>