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6CEB" w14:textId="77777777" w:rsidR="0091672C" w:rsidRDefault="0091672C" w:rsidP="0091672C">
      <w:pPr>
        <w:tabs>
          <w:tab w:val="left" w:pos="780"/>
        </w:tabs>
        <w:rPr>
          <w:lang w:val="mi-NZ"/>
        </w:rPr>
      </w:pPr>
    </w:p>
    <w:p w14:paraId="770C58D2" w14:textId="77777777" w:rsidR="0091672C" w:rsidRPr="0091672C" w:rsidRDefault="0091672C" w:rsidP="0091672C">
      <w:pPr>
        <w:rPr>
          <w:lang w:val="mi-NZ"/>
        </w:rPr>
      </w:pPr>
    </w:p>
    <w:p w14:paraId="2FB86E3F" w14:textId="77777777" w:rsidR="0091672C" w:rsidRPr="0091672C" w:rsidRDefault="0091672C" w:rsidP="0091672C">
      <w:pPr>
        <w:rPr>
          <w:lang w:val="mi-NZ"/>
        </w:rPr>
      </w:pPr>
    </w:p>
    <w:p w14:paraId="516A2766" w14:textId="77777777" w:rsidR="0091672C" w:rsidRDefault="0091672C" w:rsidP="0091672C">
      <w:pPr>
        <w:rPr>
          <w:lang w:val="mi-NZ"/>
        </w:rPr>
      </w:pPr>
    </w:p>
    <w:p w14:paraId="70765CF4" w14:textId="0C68B0C2" w:rsidR="0091672C" w:rsidRPr="0091672C" w:rsidRDefault="003B1A4C" w:rsidP="0091672C">
      <w:pPr>
        <w:pStyle w:val="Title"/>
      </w:pPr>
      <w:r>
        <w:t>T</w:t>
      </w:r>
      <w:r w:rsidR="003D07C2">
        <w:t xml:space="preserve">rust </w:t>
      </w:r>
      <w:r>
        <w:t>F</w:t>
      </w:r>
      <w:r w:rsidR="003D07C2">
        <w:t xml:space="preserve">ramework </w:t>
      </w:r>
      <w:r>
        <w:t>A</w:t>
      </w:r>
      <w:r w:rsidR="003D07C2">
        <w:t>uthority</w:t>
      </w:r>
      <w:r>
        <w:t xml:space="preserve"> </w:t>
      </w:r>
      <w:r w:rsidR="00213CFF">
        <w:t>annual</w:t>
      </w:r>
      <w:r>
        <w:t xml:space="preserve"> report for [Provider Name]</w:t>
      </w:r>
    </w:p>
    <w:p w14:paraId="07D8E1DF" w14:textId="77777777" w:rsidR="0091672C" w:rsidRPr="0091672C" w:rsidRDefault="0091672C" w:rsidP="0091672C">
      <w:pPr>
        <w:pStyle w:val="Title"/>
        <w:rPr>
          <w:sz w:val="56"/>
          <w:szCs w:val="56"/>
        </w:rPr>
      </w:pPr>
    </w:p>
    <w:p w14:paraId="265DEAC6" w14:textId="47E9F0D3" w:rsidR="0091672C" w:rsidRPr="0091672C" w:rsidRDefault="00CF70DE" w:rsidP="0091672C">
      <w:pPr>
        <w:pStyle w:val="Title"/>
        <w:rPr>
          <w:sz w:val="32"/>
          <w:szCs w:val="32"/>
          <w:lang w:val="mi-NZ"/>
        </w:rPr>
      </w:pPr>
      <w:r>
        <w:rPr>
          <w:sz w:val="32"/>
          <w:szCs w:val="32"/>
        </w:rPr>
        <w:t>[date]</w:t>
      </w:r>
    </w:p>
    <w:p w14:paraId="53F08CB6" w14:textId="10247945" w:rsidR="0091672C" w:rsidRPr="003B1A4C" w:rsidRDefault="003B1A4C" w:rsidP="0091672C">
      <w:pPr>
        <w:rPr>
          <w:b/>
          <w:bCs/>
          <w:lang w:val="mi-NZ"/>
        </w:rPr>
        <w:sectPr w:rsidR="0091672C" w:rsidRPr="003B1A4C" w:rsidSect="0010117B">
          <w:headerReference w:type="default" r:id="rId12"/>
          <w:footerReference w:type="default" r:id="rId13"/>
          <w:headerReference w:type="first" r:id="rId14"/>
          <w:footerReference w:type="first" r:id="rId15"/>
          <w:pgSz w:w="11907" w:h="16840" w:code="9"/>
          <w:pgMar w:top="1134" w:right="1418" w:bottom="992" w:left="1418" w:header="170" w:footer="397" w:gutter="0"/>
          <w:cols w:space="708"/>
          <w:titlePg/>
          <w:docGrid w:linePitch="360"/>
        </w:sectPr>
      </w:pPr>
      <w:r w:rsidRPr="003B1A4C">
        <w:rPr>
          <w:b/>
          <w:bCs/>
          <w:lang w:val="mi-NZ"/>
        </w:rPr>
        <w:t>V</w:t>
      </w:r>
      <w:r w:rsidR="009E0514">
        <w:rPr>
          <w:b/>
          <w:bCs/>
          <w:lang w:val="mi-NZ"/>
        </w:rPr>
        <w:t>1</w:t>
      </w:r>
      <w:r w:rsidRPr="003B1A4C">
        <w:rPr>
          <w:b/>
          <w:bCs/>
          <w:lang w:val="mi-NZ"/>
        </w:rPr>
        <w:t>.</w:t>
      </w:r>
      <w:r w:rsidR="005B2B29">
        <w:rPr>
          <w:b/>
          <w:bCs/>
          <w:lang w:val="mi-NZ"/>
        </w:rPr>
        <w:t xml:space="preserve">2 </w:t>
      </w:r>
      <w:proofErr w:type="spellStart"/>
      <w:r w:rsidR="005B2B29">
        <w:rPr>
          <w:b/>
          <w:bCs/>
          <w:lang w:val="mi-NZ"/>
        </w:rPr>
        <w:t>September</w:t>
      </w:r>
      <w:proofErr w:type="spellEnd"/>
      <w:r w:rsidR="009E0514">
        <w:rPr>
          <w:b/>
          <w:bCs/>
          <w:lang w:val="mi-NZ"/>
        </w:rPr>
        <w:t xml:space="preserve"> </w:t>
      </w:r>
      <w:r w:rsidRPr="003B1A4C">
        <w:rPr>
          <w:b/>
          <w:bCs/>
          <w:lang w:val="mi-NZ"/>
        </w:rPr>
        <w:t>2025</w:t>
      </w:r>
    </w:p>
    <w:p w14:paraId="4E53167B" w14:textId="77777777" w:rsidR="00DE4E1D" w:rsidRDefault="00213CFF" w:rsidP="0091672C">
      <w:pPr>
        <w:pStyle w:val="Heading1"/>
      </w:pPr>
      <w:r>
        <w:lastRenderedPageBreak/>
        <w:t>Annual</w:t>
      </w:r>
      <w:r w:rsidR="003B1A4C">
        <w:t xml:space="preserve"> reporting requirements</w:t>
      </w:r>
    </w:p>
    <w:p w14:paraId="1E3CBFC2" w14:textId="30852810" w:rsidR="00DE6379" w:rsidRDefault="00DE6379" w:rsidP="00DE6379">
      <w:r>
        <w:t>All Trust Framework providers are required to report regularly to the Trust Framework Authority. Annual reports are due to the Trust Framework Authority by 31 January each year.</w:t>
      </w:r>
      <w:r w:rsidRPr="00DE6379">
        <w:t xml:space="preserve"> </w:t>
      </w:r>
      <w:r>
        <w:t xml:space="preserve">Reports may be submitted by completing the tables below and sending the completed document to </w:t>
      </w:r>
      <w:hyperlink r:id="rId16" w:history="1">
        <w:r w:rsidRPr="00366777">
          <w:rPr>
            <w:rStyle w:val="Hyperlink"/>
          </w:rPr>
          <w:t>TFA@dia.govt.nz</w:t>
        </w:r>
      </w:hyperlink>
      <w:r>
        <w:t>.</w:t>
      </w:r>
    </w:p>
    <w:tbl>
      <w:tblPr>
        <w:tblStyle w:val="TableGrid"/>
        <w:tblW w:w="14395" w:type="dxa"/>
        <w:tblLook w:val="04A0" w:firstRow="1" w:lastRow="0" w:firstColumn="1" w:lastColumn="0" w:noHBand="0" w:noVBand="1"/>
      </w:tblPr>
      <w:tblGrid>
        <w:gridCol w:w="4460"/>
        <w:gridCol w:w="9935"/>
      </w:tblGrid>
      <w:tr w:rsidR="00117017" w:rsidRPr="00CF06B8" w14:paraId="667CFADE" w14:textId="77777777" w:rsidTr="009E0514">
        <w:tc>
          <w:tcPr>
            <w:tcW w:w="4460" w:type="dxa"/>
            <w:shd w:val="clear" w:color="auto" w:fill="0070C0"/>
          </w:tcPr>
          <w:p w14:paraId="68F836E3" w14:textId="77777777" w:rsidR="00117017" w:rsidRPr="00CF06B8" w:rsidRDefault="00117017">
            <w:pPr>
              <w:spacing w:before="120" w:after="120"/>
              <w:rPr>
                <w:b/>
                <w:bCs/>
                <w:color w:val="FFFFFF" w:themeColor="background1"/>
              </w:rPr>
            </w:pPr>
          </w:p>
        </w:tc>
        <w:tc>
          <w:tcPr>
            <w:tcW w:w="9935" w:type="dxa"/>
            <w:shd w:val="clear" w:color="auto" w:fill="0070C0"/>
          </w:tcPr>
          <w:p w14:paraId="155E8765" w14:textId="77777777" w:rsidR="00117017" w:rsidRPr="00CF06B8" w:rsidRDefault="00117017">
            <w:pPr>
              <w:spacing w:before="120" w:after="120"/>
              <w:rPr>
                <w:b/>
                <w:bCs/>
                <w:color w:val="FFFFFF" w:themeColor="background1"/>
              </w:rPr>
            </w:pPr>
            <w:r>
              <w:rPr>
                <w:b/>
                <w:bCs/>
                <w:color w:val="FFFFFF" w:themeColor="background1"/>
              </w:rPr>
              <w:t>Provider response</w:t>
            </w:r>
          </w:p>
        </w:tc>
      </w:tr>
      <w:tr w:rsidR="00117017" w14:paraId="6C37AEFD" w14:textId="77777777" w:rsidTr="009E0514">
        <w:tc>
          <w:tcPr>
            <w:tcW w:w="4460" w:type="dxa"/>
          </w:tcPr>
          <w:p w14:paraId="63B0F3EF" w14:textId="66720DF0" w:rsidR="00117017" w:rsidRPr="00CF06B8" w:rsidRDefault="003D07C2">
            <w:pPr>
              <w:spacing w:before="120" w:after="120" w:line="240" w:lineRule="auto"/>
              <w:rPr>
                <w:b/>
                <w:bCs/>
              </w:rPr>
            </w:pPr>
            <w:r>
              <w:rPr>
                <w:b/>
                <w:bCs/>
              </w:rPr>
              <w:t>Trust Framework provider</w:t>
            </w:r>
          </w:p>
        </w:tc>
        <w:tc>
          <w:tcPr>
            <w:tcW w:w="9935" w:type="dxa"/>
          </w:tcPr>
          <w:p w14:paraId="168AF723" w14:textId="77777777" w:rsidR="00117017" w:rsidRDefault="00117017">
            <w:pPr>
              <w:spacing w:before="120" w:after="120" w:line="240" w:lineRule="auto"/>
            </w:pPr>
          </w:p>
        </w:tc>
      </w:tr>
      <w:tr w:rsidR="004A617F" w14:paraId="14F8C5B2" w14:textId="77777777" w:rsidTr="009E0514">
        <w:tc>
          <w:tcPr>
            <w:tcW w:w="4460" w:type="dxa"/>
          </w:tcPr>
          <w:p w14:paraId="25470AB6" w14:textId="61962613" w:rsidR="004A617F" w:rsidRDefault="004A617F">
            <w:pPr>
              <w:spacing w:before="120" w:after="120"/>
              <w:rPr>
                <w:b/>
                <w:bCs/>
              </w:rPr>
            </w:pPr>
            <w:r>
              <w:rPr>
                <w:b/>
                <w:bCs/>
              </w:rPr>
              <w:t>Provider number</w:t>
            </w:r>
          </w:p>
        </w:tc>
        <w:tc>
          <w:tcPr>
            <w:tcW w:w="9935" w:type="dxa"/>
          </w:tcPr>
          <w:p w14:paraId="31729CDE" w14:textId="77777777" w:rsidR="004A617F" w:rsidRDefault="004A617F">
            <w:pPr>
              <w:spacing w:before="120" w:after="120"/>
            </w:pPr>
          </w:p>
        </w:tc>
      </w:tr>
      <w:tr w:rsidR="00117017" w14:paraId="4D222A2A" w14:textId="77777777" w:rsidTr="009E0514">
        <w:tc>
          <w:tcPr>
            <w:tcW w:w="4460" w:type="dxa"/>
          </w:tcPr>
          <w:p w14:paraId="2F40FF5F" w14:textId="77777777" w:rsidR="00117017" w:rsidRPr="00CF06B8" w:rsidRDefault="00117017">
            <w:pPr>
              <w:spacing w:before="120" w:after="120" w:line="240" w:lineRule="auto"/>
              <w:rPr>
                <w:b/>
                <w:bCs/>
              </w:rPr>
            </w:pPr>
            <w:r w:rsidRPr="00CF06B8">
              <w:rPr>
                <w:b/>
                <w:bCs/>
              </w:rPr>
              <w:t>Date of report</w:t>
            </w:r>
          </w:p>
        </w:tc>
        <w:tc>
          <w:tcPr>
            <w:tcW w:w="9935" w:type="dxa"/>
          </w:tcPr>
          <w:p w14:paraId="6B91A2DF" w14:textId="77777777" w:rsidR="00117017" w:rsidRDefault="00117017">
            <w:pPr>
              <w:spacing w:before="120" w:after="120" w:line="240" w:lineRule="auto"/>
            </w:pPr>
          </w:p>
        </w:tc>
      </w:tr>
      <w:tr w:rsidR="00117017" w14:paraId="74304841" w14:textId="77777777" w:rsidTr="009E0514">
        <w:tc>
          <w:tcPr>
            <w:tcW w:w="4460" w:type="dxa"/>
          </w:tcPr>
          <w:p w14:paraId="32B86F7D" w14:textId="77777777" w:rsidR="00117017" w:rsidRPr="00CF06B8" w:rsidRDefault="00117017">
            <w:pPr>
              <w:spacing w:before="120" w:after="120" w:line="240" w:lineRule="auto"/>
              <w:rPr>
                <w:b/>
                <w:bCs/>
              </w:rPr>
            </w:pPr>
            <w:r w:rsidRPr="00CF06B8">
              <w:rPr>
                <w:b/>
                <w:bCs/>
              </w:rPr>
              <w:t>Period to which the report relates</w:t>
            </w:r>
          </w:p>
        </w:tc>
        <w:tc>
          <w:tcPr>
            <w:tcW w:w="9935" w:type="dxa"/>
          </w:tcPr>
          <w:p w14:paraId="6899ED44" w14:textId="77777777" w:rsidR="00117017" w:rsidRDefault="00117017">
            <w:pPr>
              <w:spacing w:before="120" w:after="120" w:line="240" w:lineRule="auto"/>
            </w:pPr>
          </w:p>
        </w:tc>
      </w:tr>
    </w:tbl>
    <w:p w14:paraId="0D419585" w14:textId="77777777" w:rsidR="00783BAD" w:rsidRDefault="00783BAD" w:rsidP="00783BAD">
      <w:pPr>
        <w:pStyle w:val="ListParagraph"/>
        <w:ind w:left="284"/>
        <w:rPr>
          <w:b/>
          <w:bCs/>
          <w:i/>
          <w:iCs/>
        </w:rPr>
      </w:pPr>
    </w:p>
    <w:p w14:paraId="201B5E45" w14:textId="77777777" w:rsidR="00783BAD" w:rsidRDefault="00783BAD" w:rsidP="00783BAD">
      <w:pPr>
        <w:pStyle w:val="ListParagraph"/>
        <w:ind w:left="284"/>
        <w:rPr>
          <w:b/>
          <w:bCs/>
          <w:i/>
          <w:iCs/>
        </w:rPr>
      </w:pPr>
    </w:p>
    <w:p w14:paraId="651C5276" w14:textId="77777777" w:rsidR="00065E37" w:rsidRDefault="00065E37">
      <w:pPr>
        <w:keepLines w:val="0"/>
        <w:spacing w:before="120" w:after="240"/>
        <w:rPr>
          <w:b/>
          <w:bCs/>
          <w:color w:val="002060"/>
          <w:sz w:val="28"/>
          <w:szCs w:val="28"/>
        </w:rPr>
      </w:pPr>
      <w:r>
        <w:rPr>
          <w:b/>
          <w:bCs/>
          <w:color w:val="002060"/>
          <w:sz w:val="28"/>
          <w:szCs w:val="28"/>
        </w:rPr>
        <w:br w:type="page"/>
      </w:r>
    </w:p>
    <w:p w14:paraId="42A8C577" w14:textId="7670EC0B" w:rsidR="0039686A" w:rsidRPr="00783BAD" w:rsidRDefault="00783BAD" w:rsidP="00783BAD">
      <w:pPr>
        <w:pStyle w:val="ListParagraph"/>
        <w:numPr>
          <w:ilvl w:val="0"/>
          <w:numId w:val="46"/>
        </w:numPr>
        <w:ind w:left="284" w:hanging="284"/>
        <w:rPr>
          <w:b/>
          <w:bCs/>
          <w:color w:val="002060"/>
          <w:sz w:val="28"/>
          <w:szCs w:val="28"/>
        </w:rPr>
      </w:pPr>
      <w:r w:rsidRPr="00783BAD">
        <w:rPr>
          <w:b/>
          <w:bCs/>
          <w:color w:val="002060"/>
          <w:sz w:val="28"/>
          <w:szCs w:val="28"/>
        </w:rPr>
        <w:lastRenderedPageBreak/>
        <w:t>Use of accredited services</w:t>
      </w:r>
    </w:p>
    <w:p w14:paraId="7B50DDCC" w14:textId="7889344F" w:rsidR="00117017" w:rsidRDefault="00DE6379" w:rsidP="00783BAD">
      <w:pPr>
        <w:spacing w:before="0"/>
      </w:pPr>
      <w:r>
        <w:t xml:space="preserve">Per </w:t>
      </w:r>
      <w:r w:rsidRPr="00616ABD">
        <w:rPr>
          <w:i/>
          <w:iCs/>
        </w:rPr>
        <w:t>Regulation 19(2)</w:t>
      </w:r>
      <w:r>
        <w:rPr>
          <w:i/>
          <w:iCs/>
        </w:rPr>
        <w:t>(a)</w:t>
      </w:r>
      <w:r w:rsidRPr="00616ABD">
        <w:rPr>
          <w:i/>
          <w:iCs/>
        </w:rPr>
        <w:t xml:space="preserve"> of the Digital Identity Services Trust Framework Regulations</w:t>
      </w:r>
      <w:r>
        <w:t xml:space="preserve">, all Trust Framework providers are required to give the Trust Framework Authority a report about the use of their accredited services during each </w:t>
      </w:r>
      <w:proofErr w:type="gramStart"/>
      <w:r>
        <w:t>12 month</w:t>
      </w:r>
      <w:proofErr w:type="gramEnd"/>
      <w:r>
        <w:t xml:space="preserve"> period:</w:t>
      </w:r>
    </w:p>
    <w:tbl>
      <w:tblPr>
        <w:tblStyle w:val="TableGrid"/>
        <w:tblW w:w="14381" w:type="dxa"/>
        <w:tblLook w:val="04A0" w:firstRow="1" w:lastRow="0" w:firstColumn="1" w:lastColumn="0" w:noHBand="0" w:noVBand="1"/>
      </w:tblPr>
      <w:tblGrid>
        <w:gridCol w:w="4458"/>
        <w:gridCol w:w="9923"/>
      </w:tblGrid>
      <w:tr w:rsidR="00117017" w:rsidRPr="00CF06B8" w14:paraId="48AD5ADB" w14:textId="77777777">
        <w:trPr>
          <w:tblHeader/>
        </w:trPr>
        <w:tc>
          <w:tcPr>
            <w:tcW w:w="4458" w:type="dxa"/>
            <w:shd w:val="clear" w:color="auto" w:fill="0070C0"/>
          </w:tcPr>
          <w:p w14:paraId="6859C26F" w14:textId="77777777" w:rsidR="00117017" w:rsidRPr="00CF06B8" w:rsidRDefault="00117017">
            <w:pPr>
              <w:spacing w:before="120" w:after="120" w:line="240" w:lineRule="auto"/>
              <w:rPr>
                <w:b/>
                <w:bCs/>
                <w:color w:val="FFFFFF" w:themeColor="background1"/>
              </w:rPr>
            </w:pPr>
            <w:r>
              <w:rPr>
                <w:b/>
                <w:bCs/>
                <w:color w:val="FFFFFF" w:themeColor="background1"/>
              </w:rPr>
              <w:t>Report requirement – Service Delivery</w:t>
            </w:r>
          </w:p>
        </w:tc>
        <w:tc>
          <w:tcPr>
            <w:tcW w:w="9923" w:type="dxa"/>
            <w:shd w:val="clear" w:color="auto" w:fill="0070C0"/>
          </w:tcPr>
          <w:p w14:paraId="568508BF" w14:textId="77777777" w:rsidR="00117017" w:rsidRPr="00CF06B8" w:rsidRDefault="00117017">
            <w:pPr>
              <w:spacing w:before="120" w:after="120" w:line="240" w:lineRule="auto"/>
              <w:rPr>
                <w:b/>
                <w:bCs/>
                <w:color w:val="FFFFFF" w:themeColor="background1"/>
              </w:rPr>
            </w:pPr>
            <w:r>
              <w:rPr>
                <w:b/>
                <w:bCs/>
                <w:color w:val="FFFFFF" w:themeColor="background1"/>
              </w:rPr>
              <w:t>Provider response</w:t>
            </w:r>
          </w:p>
        </w:tc>
      </w:tr>
      <w:tr w:rsidR="00117017" w14:paraId="77FCD07F" w14:textId="77777777">
        <w:tc>
          <w:tcPr>
            <w:tcW w:w="4458" w:type="dxa"/>
          </w:tcPr>
          <w:p w14:paraId="3D836ABC" w14:textId="1DF5411B" w:rsidR="00117017" w:rsidRPr="00213CFF" w:rsidRDefault="00117017">
            <w:pPr>
              <w:pStyle w:val="ListParagraph"/>
              <w:numPr>
                <w:ilvl w:val="0"/>
                <w:numId w:val="42"/>
              </w:numPr>
              <w:spacing w:before="120" w:after="120"/>
              <w:ind w:left="383" w:hanging="383"/>
              <w:rPr>
                <w:b/>
                <w:bCs/>
              </w:rPr>
            </w:pPr>
            <w:r>
              <w:rPr>
                <w:b/>
                <w:bCs/>
              </w:rPr>
              <w:t xml:space="preserve">Steps taken by the </w:t>
            </w:r>
            <w:r w:rsidR="003D07C2">
              <w:rPr>
                <w:b/>
                <w:bCs/>
              </w:rPr>
              <w:t>Trust Framework provider</w:t>
            </w:r>
            <w:r w:rsidR="003D07C2" w:rsidRPr="00CF06B8">
              <w:rPr>
                <w:b/>
                <w:bCs/>
              </w:rPr>
              <w:t xml:space="preserve"> </w:t>
            </w:r>
            <w:r>
              <w:rPr>
                <w:b/>
                <w:bCs/>
              </w:rPr>
              <w:t xml:space="preserve">to ensure accredited services are delivered in accordance with the </w:t>
            </w:r>
            <w:r w:rsidR="003D07C2">
              <w:rPr>
                <w:b/>
                <w:bCs/>
              </w:rPr>
              <w:t>Trust Framework R</w:t>
            </w:r>
            <w:r>
              <w:rPr>
                <w:b/>
                <w:bCs/>
              </w:rPr>
              <w:t xml:space="preserve">ules and </w:t>
            </w:r>
            <w:r w:rsidR="003D07C2">
              <w:rPr>
                <w:b/>
                <w:bCs/>
              </w:rPr>
              <w:t>R</w:t>
            </w:r>
            <w:r>
              <w:rPr>
                <w:b/>
                <w:bCs/>
              </w:rPr>
              <w:t>egulations</w:t>
            </w:r>
          </w:p>
        </w:tc>
        <w:tc>
          <w:tcPr>
            <w:tcW w:w="9923" w:type="dxa"/>
          </w:tcPr>
          <w:p w14:paraId="75A28CB4" w14:textId="77777777" w:rsidR="00117017" w:rsidRPr="00CF06B8" w:rsidRDefault="00117017">
            <w:pPr>
              <w:spacing w:before="120" w:after="120" w:line="240" w:lineRule="auto"/>
              <w:rPr>
                <w:b/>
                <w:bCs/>
              </w:rPr>
            </w:pPr>
          </w:p>
        </w:tc>
      </w:tr>
      <w:tr w:rsidR="00117017" w14:paraId="3D885CCB" w14:textId="77777777">
        <w:tc>
          <w:tcPr>
            <w:tcW w:w="4458" w:type="dxa"/>
          </w:tcPr>
          <w:p w14:paraId="38D782C3" w14:textId="524F1EF7" w:rsidR="00117017" w:rsidRDefault="00117017">
            <w:pPr>
              <w:pStyle w:val="ListParagraph"/>
              <w:numPr>
                <w:ilvl w:val="0"/>
                <w:numId w:val="42"/>
              </w:numPr>
              <w:spacing w:before="120" w:after="120"/>
              <w:ind w:left="383" w:hanging="383"/>
              <w:rPr>
                <w:b/>
                <w:bCs/>
              </w:rPr>
            </w:pPr>
            <w:r>
              <w:rPr>
                <w:b/>
                <w:bCs/>
              </w:rPr>
              <w:t xml:space="preserve">Any breaches of the </w:t>
            </w:r>
            <w:r w:rsidR="0033460C">
              <w:rPr>
                <w:b/>
                <w:bCs/>
              </w:rPr>
              <w:t>Trust Framework Rules and Regulations</w:t>
            </w:r>
          </w:p>
          <w:p w14:paraId="3EC03899" w14:textId="09D3984A" w:rsidR="00117017" w:rsidRPr="00886DC7" w:rsidRDefault="00117017">
            <w:pPr>
              <w:pStyle w:val="ListParagraph"/>
              <w:spacing w:before="120" w:after="120"/>
              <w:ind w:left="383"/>
              <w:rPr>
                <w:sz w:val="20"/>
                <w:szCs w:val="20"/>
              </w:rPr>
            </w:pPr>
            <w:r w:rsidRPr="00886DC7">
              <w:rPr>
                <w:sz w:val="20"/>
                <w:szCs w:val="20"/>
              </w:rPr>
              <w:t xml:space="preserve">[this field does not need to be completed if all breaches have previously been reported to the </w:t>
            </w:r>
            <w:r w:rsidR="00305B4E">
              <w:rPr>
                <w:sz w:val="20"/>
                <w:szCs w:val="20"/>
              </w:rPr>
              <w:t>Trust Framework Authority</w:t>
            </w:r>
            <w:r w:rsidRPr="00886DC7">
              <w:rPr>
                <w:sz w:val="20"/>
                <w:szCs w:val="20"/>
              </w:rPr>
              <w:t>]</w:t>
            </w:r>
          </w:p>
        </w:tc>
        <w:tc>
          <w:tcPr>
            <w:tcW w:w="9923" w:type="dxa"/>
          </w:tcPr>
          <w:p w14:paraId="6F48238A" w14:textId="77777777" w:rsidR="00117017" w:rsidRPr="00CF06B8" w:rsidRDefault="00117017">
            <w:pPr>
              <w:spacing w:before="120" w:after="120" w:line="240" w:lineRule="auto"/>
              <w:rPr>
                <w:b/>
                <w:bCs/>
              </w:rPr>
            </w:pPr>
          </w:p>
        </w:tc>
      </w:tr>
      <w:tr w:rsidR="00117017" w14:paraId="32E10C0C" w14:textId="77777777">
        <w:tc>
          <w:tcPr>
            <w:tcW w:w="4458" w:type="dxa"/>
          </w:tcPr>
          <w:p w14:paraId="335CB4BC" w14:textId="107B23E4" w:rsidR="00117017" w:rsidRDefault="00117017">
            <w:pPr>
              <w:pStyle w:val="ListParagraph"/>
              <w:numPr>
                <w:ilvl w:val="0"/>
                <w:numId w:val="42"/>
              </w:numPr>
              <w:spacing w:before="120" w:after="120"/>
              <w:ind w:left="383" w:hanging="383"/>
              <w:rPr>
                <w:b/>
                <w:bCs/>
              </w:rPr>
            </w:pPr>
            <w:r>
              <w:rPr>
                <w:b/>
                <w:bCs/>
              </w:rPr>
              <w:t xml:space="preserve">Action taken to remedy any breaches of the </w:t>
            </w:r>
            <w:r w:rsidR="00305B4E">
              <w:rPr>
                <w:b/>
                <w:bCs/>
              </w:rPr>
              <w:t>Trust Framework Rules and Regulations</w:t>
            </w:r>
          </w:p>
          <w:p w14:paraId="068E53BC" w14:textId="77777777" w:rsidR="00117017" w:rsidRPr="00AB3FC3" w:rsidRDefault="00117017">
            <w:pPr>
              <w:pStyle w:val="ListParagraph"/>
              <w:spacing w:before="120" w:after="120"/>
              <w:ind w:left="383"/>
            </w:pPr>
            <w:r w:rsidRPr="00886DC7">
              <w:rPr>
                <w:sz w:val="20"/>
                <w:szCs w:val="20"/>
              </w:rPr>
              <w:t>[if applicable]</w:t>
            </w:r>
          </w:p>
        </w:tc>
        <w:tc>
          <w:tcPr>
            <w:tcW w:w="9923" w:type="dxa"/>
          </w:tcPr>
          <w:p w14:paraId="1D2F190F" w14:textId="77777777" w:rsidR="00117017" w:rsidRPr="00CF06B8" w:rsidRDefault="00117017">
            <w:pPr>
              <w:spacing w:before="120" w:after="120" w:line="240" w:lineRule="auto"/>
              <w:rPr>
                <w:b/>
                <w:bCs/>
              </w:rPr>
            </w:pPr>
          </w:p>
        </w:tc>
      </w:tr>
      <w:tr w:rsidR="00117017" w14:paraId="4CEA677B" w14:textId="77777777">
        <w:tc>
          <w:tcPr>
            <w:tcW w:w="4458" w:type="dxa"/>
          </w:tcPr>
          <w:p w14:paraId="7E97F9A7" w14:textId="68700DCC" w:rsidR="00117017" w:rsidRDefault="00117017">
            <w:pPr>
              <w:pStyle w:val="ListParagraph"/>
              <w:numPr>
                <w:ilvl w:val="0"/>
                <w:numId w:val="42"/>
              </w:numPr>
              <w:spacing w:before="120" w:after="120"/>
              <w:ind w:left="383" w:hanging="383"/>
              <w:rPr>
                <w:b/>
                <w:bCs/>
              </w:rPr>
            </w:pPr>
            <w:r>
              <w:rPr>
                <w:b/>
                <w:bCs/>
              </w:rPr>
              <w:t xml:space="preserve">Steps taken to remedy any breaches of the </w:t>
            </w:r>
            <w:r w:rsidR="00305B4E">
              <w:rPr>
                <w:b/>
                <w:bCs/>
              </w:rPr>
              <w:t>Trust Framework Rules and Regulations</w:t>
            </w:r>
          </w:p>
          <w:p w14:paraId="27517EF2" w14:textId="77777777" w:rsidR="00117017" w:rsidRPr="00AB3FC3" w:rsidRDefault="00117017">
            <w:pPr>
              <w:pStyle w:val="ListParagraph"/>
              <w:spacing w:before="120" w:after="120"/>
              <w:ind w:left="383"/>
            </w:pPr>
            <w:r w:rsidRPr="00886DC7">
              <w:rPr>
                <w:sz w:val="20"/>
                <w:szCs w:val="20"/>
              </w:rPr>
              <w:t>[if applicable]</w:t>
            </w:r>
          </w:p>
        </w:tc>
        <w:tc>
          <w:tcPr>
            <w:tcW w:w="9923" w:type="dxa"/>
          </w:tcPr>
          <w:p w14:paraId="7C7FC661" w14:textId="77777777" w:rsidR="00117017" w:rsidRPr="00CF06B8" w:rsidRDefault="00117017">
            <w:pPr>
              <w:spacing w:before="120" w:after="120"/>
              <w:rPr>
                <w:b/>
                <w:bCs/>
              </w:rPr>
            </w:pPr>
          </w:p>
        </w:tc>
      </w:tr>
    </w:tbl>
    <w:p w14:paraId="0A4B46CF" w14:textId="77777777" w:rsidR="00783BAD" w:rsidRDefault="00783BAD">
      <w:pPr>
        <w:keepLines w:val="0"/>
        <w:spacing w:before="120" w:after="240"/>
        <w:rPr>
          <w:b/>
          <w:bCs/>
          <w:color w:val="002060"/>
          <w:sz w:val="28"/>
          <w:szCs w:val="28"/>
        </w:rPr>
      </w:pPr>
      <w:r>
        <w:rPr>
          <w:b/>
          <w:bCs/>
          <w:color w:val="002060"/>
          <w:sz w:val="28"/>
          <w:szCs w:val="28"/>
        </w:rPr>
        <w:br w:type="page"/>
      </w:r>
    </w:p>
    <w:p w14:paraId="71AAD266" w14:textId="4B68B096" w:rsidR="00783BAD" w:rsidRPr="00783BAD" w:rsidRDefault="00783BAD" w:rsidP="00783BAD">
      <w:pPr>
        <w:pStyle w:val="ListParagraph"/>
        <w:numPr>
          <w:ilvl w:val="0"/>
          <w:numId w:val="46"/>
        </w:numPr>
        <w:ind w:left="284" w:hanging="284"/>
        <w:rPr>
          <w:b/>
          <w:bCs/>
          <w:color w:val="002060"/>
          <w:sz w:val="28"/>
          <w:szCs w:val="28"/>
        </w:rPr>
      </w:pPr>
      <w:r>
        <w:rPr>
          <w:b/>
          <w:bCs/>
          <w:color w:val="002060"/>
          <w:sz w:val="28"/>
          <w:szCs w:val="28"/>
        </w:rPr>
        <w:lastRenderedPageBreak/>
        <w:t>Complaints and dispute resolution</w:t>
      </w:r>
    </w:p>
    <w:p w14:paraId="65D966A0" w14:textId="7361BD62" w:rsidR="00117017" w:rsidRDefault="00DE6379" w:rsidP="00783BAD">
      <w:pPr>
        <w:spacing w:before="0"/>
      </w:pPr>
      <w:r>
        <w:t xml:space="preserve">Per </w:t>
      </w:r>
      <w:r w:rsidRPr="00616ABD">
        <w:rPr>
          <w:i/>
          <w:iCs/>
        </w:rPr>
        <w:t>Regulation 19(2)</w:t>
      </w:r>
      <w:r>
        <w:rPr>
          <w:i/>
          <w:iCs/>
        </w:rPr>
        <w:t>(b)</w:t>
      </w:r>
      <w:r w:rsidRPr="00616ABD">
        <w:rPr>
          <w:i/>
          <w:iCs/>
        </w:rPr>
        <w:t xml:space="preserve"> of the Digital Identity Services Trust Framework Regulations</w:t>
      </w:r>
      <w:r>
        <w:t>, all Trust Framework providers are required to give the Trust Framework Authority a report</w:t>
      </w:r>
      <w:r w:rsidR="00CC0F4E">
        <w:t xml:space="preserve"> about</w:t>
      </w:r>
      <w:r>
        <w:t xml:space="preserve"> </w:t>
      </w:r>
      <w:r w:rsidR="00864959">
        <w:t xml:space="preserve">complaints and dispute resolution </w:t>
      </w:r>
      <w:r>
        <w:t xml:space="preserve">during each </w:t>
      </w:r>
      <w:proofErr w:type="gramStart"/>
      <w:r>
        <w:t>12 month</w:t>
      </w:r>
      <w:proofErr w:type="gramEnd"/>
      <w:r>
        <w:t xml:space="preserve"> period:</w:t>
      </w:r>
    </w:p>
    <w:tbl>
      <w:tblPr>
        <w:tblStyle w:val="TableGrid"/>
        <w:tblW w:w="14454" w:type="dxa"/>
        <w:tblLook w:val="04A0" w:firstRow="1" w:lastRow="0" w:firstColumn="1" w:lastColumn="0" w:noHBand="0" w:noVBand="1"/>
      </w:tblPr>
      <w:tblGrid>
        <w:gridCol w:w="3263"/>
        <w:gridCol w:w="1456"/>
        <w:gridCol w:w="1586"/>
        <w:gridCol w:w="8149"/>
      </w:tblGrid>
      <w:tr w:rsidR="00117017" w:rsidRPr="00CF06B8" w14:paraId="57A68F71" w14:textId="77777777" w:rsidTr="00305B4E">
        <w:trPr>
          <w:cantSplit/>
          <w:tblHeader/>
        </w:trPr>
        <w:tc>
          <w:tcPr>
            <w:tcW w:w="0" w:type="auto"/>
            <w:shd w:val="clear" w:color="auto" w:fill="0070C0"/>
          </w:tcPr>
          <w:p w14:paraId="6042F166" w14:textId="3BA33A17" w:rsidR="00117017" w:rsidRPr="00CF06B8" w:rsidRDefault="00117017">
            <w:pPr>
              <w:spacing w:before="120" w:after="120" w:line="240" w:lineRule="auto"/>
              <w:rPr>
                <w:b/>
                <w:bCs/>
                <w:color w:val="FFFFFF" w:themeColor="background1"/>
              </w:rPr>
            </w:pPr>
            <w:r>
              <w:rPr>
                <w:b/>
                <w:bCs/>
                <w:color w:val="FFFFFF" w:themeColor="background1"/>
              </w:rPr>
              <w:t>Date of complaint</w:t>
            </w:r>
            <w:r w:rsidR="00336A37">
              <w:rPr>
                <w:b/>
                <w:bCs/>
                <w:color w:val="FFFFFF" w:themeColor="background1"/>
              </w:rPr>
              <w:t xml:space="preserve"> </w:t>
            </w:r>
            <w:r w:rsidR="00336A37" w:rsidRPr="00336A37">
              <w:rPr>
                <w:b/>
                <w:bCs/>
                <w:color w:val="FFFFFF" w:themeColor="background1"/>
              </w:rPr>
              <w:t>related to accredited service(s) during the 12-month period</w:t>
            </w:r>
          </w:p>
        </w:tc>
        <w:tc>
          <w:tcPr>
            <w:tcW w:w="0" w:type="auto"/>
            <w:shd w:val="clear" w:color="auto" w:fill="0070C0"/>
          </w:tcPr>
          <w:p w14:paraId="0333B7C4" w14:textId="77777777" w:rsidR="00117017" w:rsidRPr="00CF06B8" w:rsidRDefault="00117017">
            <w:pPr>
              <w:spacing w:before="120" w:after="120" w:line="240" w:lineRule="auto"/>
              <w:rPr>
                <w:b/>
                <w:bCs/>
                <w:color w:val="FFFFFF" w:themeColor="background1"/>
              </w:rPr>
            </w:pPr>
            <w:r>
              <w:rPr>
                <w:b/>
                <w:bCs/>
                <w:color w:val="FFFFFF" w:themeColor="background1"/>
              </w:rPr>
              <w:t>Type of complaint</w:t>
            </w:r>
          </w:p>
        </w:tc>
        <w:tc>
          <w:tcPr>
            <w:tcW w:w="0" w:type="auto"/>
            <w:shd w:val="clear" w:color="auto" w:fill="0070C0"/>
          </w:tcPr>
          <w:p w14:paraId="721D8848" w14:textId="77777777" w:rsidR="00117017" w:rsidRDefault="00117017">
            <w:pPr>
              <w:spacing w:before="120" w:after="120"/>
              <w:rPr>
                <w:b/>
                <w:bCs/>
                <w:color w:val="FFFFFF" w:themeColor="background1"/>
              </w:rPr>
            </w:pPr>
            <w:r>
              <w:rPr>
                <w:b/>
                <w:bCs/>
                <w:color w:val="FFFFFF" w:themeColor="background1"/>
              </w:rPr>
              <w:t>Accredited service(s)</w:t>
            </w:r>
          </w:p>
        </w:tc>
        <w:tc>
          <w:tcPr>
            <w:tcW w:w="8149" w:type="dxa"/>
            <w:shd w:val="clear" w:color="auto" w:fill="0070C0"/>
          </w:tcPr>
          <w:p w14:paraId="72022732" w14:textId="77777777" w:rsidR="00117017" w:rsidRDefault="00117017">
            <w:pPr>
              <w:spacing w:before="120" w:after="120"/>
              <w:rPr>
                <w:b/>
                <w:bCs/>
                <w:color w:val="FFFFFF" w:themeColor="background1"/>
              </w:rPr>
            </w:pPr>
            <w:r>
              <w:rPr>
                <w:b/>
                <w:bCs/>
                <w:color w:val="FFFFFF" w:themeColor="background1"/>
              </w:rPr>
              <w:t>Outcome of the complaint, including remedies</w:t>
            </w:r>
          </w:p>
        </w:tc>
      </w:tr>
      <w:tr w:rsidR="00117017" w14:paraId="0F5632C6" w14:textId="77777777" w:rsidTr="00117017">
        <w:tc>
          <w:tcPr>
            <w:tcW w:w="0" w:type="auto"/>
          </w:tcPr>
          <w:p w14:paraId="2BD9B9A5" w14:textId="77777777" w:rsidR="00117017" w:rsidRPr="00CF06B8" w:rsidRDefault="00117017">
            <w:pPr>
              <w:spacing w:before="120" w:after="120" w:line="240" w:lineRule="auto"/>
              <w:rPr>
                <w:b/>
                <w:bCs/>
              </w:rPr>
            </w:pPr>
          </w:p>
        </w:tc>
        <w:tc>
          <w:tcPr>
            <w:tcW w:w="0" w:type="auto"/>
          </w:tcPr>
          <w:p w14:paraId="5AB3AF61" w14:textId="77777777" w:rsidR="00117017" w:rsidRPr="00CF06B8" w:rsidRDefault="00117017">
            <w:pPr>
              <w:spacing w:before="120" w:after="120" w:line="240" w:lineRule="auto"/>
              <w:rPr>
                <w:b/>
                <w:bCs/>
              </w:rPr>
            </w:pPr>
          </w:p>
        </w:tc>
        <w:tc>
          <w:tcPr>
            <w:tcW w:w="0" w:type="auto"/>
          </w:tcPr>
          <w:p w14:paraId="3A5BFE2C" w14:textId="77777777" w:rsidR="00117017" w:rsidRPr="00CF06B8" w:rsidRDefault="00117017">
            <w:pPr>
              <w:spacing w:before="120" w:after="120"/>
              <w:rPr>
                <w:b/>
                <w:bCs/>
              </w:rPr>
            </w:pPr>
          </w:p>
        </w:tc>
        <w:tc>
          <w:tcPr>
            <w:tcW w:w="8149" w:type="dxa"/>
          </w:tcPr>
          <w:p w14:paraId="7632A0F8" w14:textId="77777777" w:rsidR="00117017" w:rsidRPr="00CF06B8" w:rsidRDefault="00117017">
            <w:pPr>
              <w:spacing w:before="120" w:after="120"/>
              <w:rPr>
                <w:b/>
                <w:bCs/>
              </w:rPr>
            </w:pPr>
          </w:p>
        </w:tc>
      </w:tr>
      <w:tr w:rsidR="00117017" w14:paraId="73A9541C" w14:textId="77777777" w:rsidTr="00117017">
        <w:tc>
          <w:tcPr>
            <w:tcW w:w="0" w:type="auto"/>
          </w:tcPr>
          <w:p w14:paraId="78E67FF6" w14:textId="77777777" w:rsidR="00117017" w:rsidRPr="00CF06B8" w:rsidRDefault="00117017">
            <w:pPr>
              <w:spacing w:before="120" w:after="120"/>
              <w:rPr>
                <w:b/>
                <w:bCs/>
              </w:rPr>
            </w:pPr>
          </w:p>
        </w:tc>
        <w:tc>
          <w:tcPr>
            <w:tcW w:w="0" w:type="auto"/>
          </w:tcPr>
          <w:p w14:paraId="3DC7FCC0" w14:textId="77777777" w:rsidR="00117017" w:rsidRPr="00CF06B8" w:rsidRDefault="00117017">
            <w:pPr>
              <w:spacing w:before="120" w:after="120"/>
              <w:rPr>
                <w:b/>
                <w:bCs/>
              </w:rPr>
            </w:pPr>
          </w:p>
        </w:tc>
        <w:tc>
          <w:tcPr>
            <w:tcW w:w="0" w:type="auto"/>
          </w:tcPr>
          <w:p w14:paraId="3C38194F" w14:textId="77777777" w:rsidR="00117017" w:rsidRPr="00CF06B8" w:rsidRDefault="00117017">
            <w:pPr>
              <w:spacing w:before="120" w:after="120"/>
              <w:rPr>
                <w:b/>
                <w:bCs/>
              </w:rPr>
            </w:pPr>
          </w:p>
        </w:tc>
        <w:tc>
          <w:tcPr>
            <w:tcW w:w="8149" w:type="dxa"/>
          </w:tcPr>
          <w:p w14:paraId="4F2FB115" w14:textId="77777777" w:rsidR="00117017" w:rsidRPr="00CF06B8" w:rsidRDefault="00117017">
            <w:pPr>
              <w:spacing w:before="120" w:after="120"/>
              <w:rPr>
                <w:b/>
                <w:bCs/>
              </w:rPr>
            </w:pPr>
          </w:p>
        </w:tc>
      </w:tr>
      <w:tr w:rsidR="00117017" w14:paraId="0F94484D" w14:textId="77777777" w:rsidTr="00117017">
        <w:tc>
          <w:tcPr>
            <w:tcW w:w="0" w:type="auto"/>
          </w:tcPr>
          <w:p w14:paraId="420C9C13" w14:textId="77777777" w:rsidR="00117017" w:rsidRPr="00CF06B8" w:rsidRDefault="00117017">
            <w:pPr>
              <w:spacing w:before="120" w:after="120"/>
              <w:rPr>
                <w:b/>
                <w:bCs/>
              </w:rPr>
            </w:pPr>
          </w:p>
        </w:tc>
        <w:tc>
          <w:tcPr>
            <w:tcW w:w="0" w:type="auto"/>
          </w:tcPr>
          <w:p w14:paraId="78CC5FF0" w14:textId="77777777" w:rsidR="00117017" w:rsidRPr="00CF06B8" w:rsidRDefault="00117017">
            <w:pPr>
              <w:spacing w:before="120" w:after="120"/>
              <w:rPr>
                <w:b/>
                <w:bCs/>
              </w:rPr>
            </w:pPr>
          </w:p>
        </w:tc>
        <w:tc>
          <w:tcPr>
            <w:tcW w:w="0" w:type="auto"/>
          </w:tcPr>
          <w:p w14:paraId="53896EA0" w14:textId="77777777" w:rsidR="00117017" w:rsidRPr="00CF06B8" w:rsidRDefault="00117017">
            <w:pPr>
              <w:spacing w:before="120" w:after="120"/>
              <w:rPr>
                <w:b/>
                <w:bCs/>
              </w:rPr>
            </w:pPr>
          </w:p>
        </w:tc>
        <w:tc>
          <w:tcPr>
            <w:tcW w:w="8149" w:type="dxa"/>
          </w:tcPr>
          <w:p w14:paraId="5A65D474" w14:textId="77777777" w:rsidR="00117017" w:rsidRPr="00CF06B8" w:rsidRDefault="00117017">
            <w:pPr>
              <w:spacing w:before="120" w:after="120"/>
              <w:rPr>
                <w:b/>
                <w:bCs/>
              </w:rPr>
            </w:pPr>
          </w:p>
        </w:tc>
      </w:tr>
    </w:tbl>
    <w:p w14:paraId="43A217D3" w14:textId="77777777" w:rsidR="00117017" w:rsidRDefault="00117017" w:rsidP="00117017">
      <w:pPr>
        <w:spacing w:before="0"/>
        <w:rPr>
          <w:i/>
          <w:iCs/>
        </w:rPr>
      </w:pPr>
      <w:r w:rsidRPr="00AB3FC3">
        <w:rPr>
          <w:i/>
          <w:iCs/>
        </w:rPr>
        <w:t>Add additional rows if needed</w:t>
      </w:r>
    </w:p>
    <w:p w14:paraId="3C78D61D" w14:textId="77777777" w:rsidR="00117017" w:rsidRDefault="00117017" w:rsidP="00117017">
      <w:pPr>
        <w:rPr>
          <w:i/>
          <w:iCs/>
        </w:rPr>
      </w:pPr>
    </w:p>
    <w:p w14:paraId="4346334D" w14:textId="77777777" w:rsidR="00065E37" w:rsidRDefault="00065E37">
      <w:pPr>
        <w:keepLines w:val="0"/>
        <w:spacing w:before="120" w:after="240"/>
        <w:rPr>
          <w:b/>
          <w:bCs/>
          <w:color w:val="002060"/>
          <w:sz w:val="28"/>
          <w:szCs w:val="28"/>
        </w:rPr>
      </w:pPr>
      <w:r>
        <w:rPr>
          <w:b/>
          <w:bCs/>
          <w:color w:val="002060"/>
          <w:sz w:val="28"/>
          <w:szCs w:val="28"/>
        </w:rPr>
        <w:br w:type="page"/>
      </w:r>
    </w:p>
    <w:p w14:paraId="69338D2A" w14:textId="63D37BEE" w:rsidR="00065E37" w:rsidRPr="00783BAD" w:rsidRDefault="00065E37" w:rsidP="00065E37">
      <w:pPr>
        <w:pStyle w:val="ListParagraph"/>
        <w:numPr>
          <w:ilvl w:val="0"/>
          <w:numId w:val="46"/>
        </w:numPr>
        <w:ind w:left="284" w:hanging="284"/>
        <w:rPr>
          <w:b/>
          <w:bCs/>
          <w:color w:val="002060"/>
          <w:sz w:val="28"/>
          <w:szCs w:val="28"/>
        </w:rPr>
      </w:pPr>
      <w:r>
        <w:rPr>
          <w:b/>
          <w:bCs/>
          <w:color w:val="002060"/>
          <w:sz w:val="28"/>
          <w:szCs w:val="28"/>
        </w:rPr>
        <w:lastRenderedPageBreak/>
        <w:t>Incidents</w:t>
      </w:r>
    </w:p>
    <w:p w14:paraId="4A8C134B" w14:textId="45F37EE5" w:rsidR="00BC2E7B" w:rsidRDefault="00BC2E7B" w:rsidP="00BC2E7B">
      <w:pPr>
        <w:spacing w:before="0" w:after="0"/>
      </w:pPr>
      <w:r>
        <w:rPr>
          <w:i/>
          <w:iCs/>
        </w:rPr>
        <w:t xml:space="preserve">Per </w:t>
      </w:r>
      <w:r w:rsidRPr="00996037">
        <w:rPr>
          <w:i/>
          <w:iCs/>
        </w:rPr>
        <w:t>Regulation 20</w:t>
      </w:r>
      <w:r w:rsidRPr="00BC2E7B">
        <w:rPr>
          <w:i/>
          <w:iCs/>
        </w:rPr>
        <w:t xml:space="preserve"> </w:t>
      </w:r>
      <w:r w:rsidRPr="00616ABD">
        <w:rPr>
          <w:i/>
          <w:iCs/>
        </w:rPr>
        <w:t>of the Digital Identity Services Trust Framework Regulations</w:t>
      </w:r>
      <w:r w:rsidRPr="00F24804">
        <w:t>, a Trust</w:t>
      </w:r>
      <w:r>
        <w:t xml:space="preserve"> Framework provider must notify the Trust Framework Authority of any incident relating to the Trust Framework provider, or to an accredited service of the Trust Framework provider, as soon as practicable.</w:t>
      </w:r>
    </w:p>
    <w:p w14:paraId="7ACD0460" w14:textId="77777777" w:rsidR="00BC2E7B" w:rsidRDefault="00BC2E7B" w:rsidP="00BC2E7B">
      <w:pPr>
        <w:spacing w:before="0" w:after="0"/>
        <w:ind w:left="354"/>
      </w:pPr>
    </w:p>
    <w:p w14:paraId="262DD8CD" w14:textId="77777777" w:rsidR="00BC2E7B" w:rsidRDefault="00BC2E7B" w:rsidP="00BC2E7B">
      <w:pPr>
        <w:spacing w:before="0" w:after="0"/>
      </w:pPr>
      <w:r>
        <w:t>Incident means an actual or suspected event, including a cybersecurity event or fraud, that does or would do any of the following:</w:t>
      </w:r>
    </w:p>
    <w:p w14:paraId="47E3091D" w14:textId="77777777" w:rsidR="00BC2E7B" w:rsidRDefault="00BC2E7B" w:rsidP="00BC2E7B">
      <w:pPr>
        <w:pStyle w:val="ListParagraph"/>
        <w:numPr>
          <w:ilvl w:val="0"/>
          <w:numId w:val="43"/>
        </w:numPr>
        <w:spacing w:before="0" w:after="0"/>
        <w:ind w:left="921"/>
      </w:pPr>
      <w:r>
        <w:t>Adversely affect privacy or confidentiality</w:t>
      </w:r>
    </w:p>
    <w:p w14:paraId="6BE172CD" w14:textId="77777777" w:rsidR="00BC2E7B" w:rsidRDefault="00BC2E7B" w:rsidP="00BC2E7B">
      <w:pPr>
        <w:pStyle w:val="ListParagraph"/>
        <w:numPr>
          <w:ilvl w:val="0"/>
          <w:numId w:val="43"/>
        </w:numPr>
        <w:spacing w:before="0" w:after="0"/>
        <w:ind w:left="921"/>
      </w:pPr>
      <w:r>
        <w:t>Adversely affect the integrity or availability of an accredited service</w:t>
      </w:r>
    </w:p>
    <w:p w14:paraId="42FE1770" w14:textId="77777777" w:rsidR="00BC2E7B" w:rsidRDefault="00BC2E7B" w:rsidP="00BC2E7B">
      <w:pPr>
        <w:pStyle w:val="ListParagraph"/>
        <w:numPr>
          <w:ilvl w:val="0"/>
          <w:numId w:val="43"/>
        </w:numPr>
        <w:spacing w:before="0" w:after="0"/>
        <w:ind w:left="921"/>
      </w:pPr>
      <w:r>
        <w:t>Cause, or risk causing, serious harm to a trust framework participant.</w:t>
      </w:r>
    </w:p>
    <w:p w14:paraId="02BAF5EC" w14:textId="37053EDF" w:rsidR="00117017" w:rsidRPr="00F24804" w:rsidRDefault="00CC0F4E" w:rsidP="00117017">
      <w:r>
        <w:t xml:space="preserve">Per </w:t>
      </w:r>
      <w:r w:rsidRPr="00616ABD">
        <w:rPr>
          <w:i/>
          <w:iCs/>
        </w:rPr>
        <w:t>Regulation 19(2)</w:t>
      </w:r>
      <w:r>
        <w:rPr>
          <w:i/>
          <w:iCs/>
        </w:rPr>
        <w:t>(c)</w:t>
      </w:r>
      <w:r w:rsidRPr="00616ABD">
        <w:rPr>
          <w:i/>
          <w:iCs/>
        </w:rPr>
        <w:t xml:space="preserve"> of the Digital Identity Services Trust Framework Regulations</w:t>
      </w:r>
      <w:r>
        <w:t>, all Trust Framework providers are required to give the Trust Framework Authority a report about the s</w:t>
      </w:r>
      <w:r w:rsidRPr="00F24804">
        <w:t>tatus or outcome during the 12-month period of any incidents reported to the Trust Framework Authority</w:t>
      </w:r>
      <w:r>
        <w:t>:</w:t>
      </w:r>
    </w:p>
    <w:tbl>
      <w:tblPr>
        <w:tblStyle w:val="TableGrid"/>
        <w:tblW w:w="14454" w:type="dxa"/>
        <w:tblLook w:val="04A0" w:firstRow="1" w:lastRow="0" w:firstColumn="1" w:lastColumn="0" w:noHBand="0" w:noVBand="1"/>
      </w:tblPr>
      <w:tblGrid>
        <w:gridCol w:w="1531"/>
        <w:gridCol w:w="3262"/>
        <w:gridCol w:w="1865"/>
        <w:gridCol w:w="2551"/>
        <w:gridCol w:w="2623"/>
        <w:gridCol w:w="2622"/>
      </w:tblGrid>
      <w:tr w:rsidR="00117017" w14:paraId="3DC6524E" w14:textId="77777777" w:rsidTr="00305B4E">
        <w:trPr>
          <w:cantSplit/>
          <w:tblHeader/>
        </w:trPr>
        <w:tc>
          <w:tcPr>
            <w:tcW w:w="0" w:type="auto"/>
            <w:shd w:val="clear" w:color="auto" w:fill="0070C0"/>
          </w:tcPr>
          <w:p w14:paraId="59791AFA" w14:textId="77777777" w:rsidR="00117017" w:rsidRPr="00CF06B8" w:rsidRDefault="00117017">
            <w:pPr>
              <w:spacing w:before="120" w:after="120" w:line="240" w:lineRule="auto"/>
              <w:rPr>
                <w:b/>
                <w:bCs/>
                <w:color w:val="FFFFFF" w:themeColor="background1"/>
              </w:rPr>
            </w:pPr>
            <w:r>
              <w:rPr>
                <w:b/>
                <w:bCs/>
                <w:color w:val="FFFFFF" w:themeColor="background1"/>
              </w:rPr>
              <w:t>Incident type</w:t>
            </w:r>
          </w:p>
        </w:tc>
        <w:tc>
          <w:tcPr>
            <w:tcW w:w="0" w:type="auto"/>
            <w:shd w:val="clear" w:color="auto" w:fill="0070C0"/>
          </w:tcPr>
          <w:p w14:paraId="160CC42A" w14:textId="77777777" w:rsidR="00117017" w:rsidRPr="00CF06B8" w:rsidRDefault="00117017">
            <w:pPr>
              <w:spacing w:before="120" w:after="120" w:line="240" w:lineRule="auto"/>
              <w:rPr>
                <w:b/>
                <w:bCs/>
                <w:color w:val="FFFFFF" w:themeColor="background1"/>
              </w:rPr>
            </w:pPr>
            <w:r>
              <w:rPr>
                <w:b/>
                <w:bCs/>
                <w:color w:val="FFFFFF" w:themeColor="background1"/>
              </w:rPr>
              <w:t>Accredited service (if relevant)</w:t>
            </w:r>
          </w:p>
        </w:tc>
        <w:tc>
          <w:tcPr>
            <w:tcW w:w="1865" w:type="dxa"/>
            <w:shd w:val="clear" w:color="auto" w:fill="0070C0"/>
          </w:tcPr>
          <w:p w14:paraId="6E6A3BC3" w14:textId="40C78751" w:rsidR="00117017" w:rsidRDefault="00117017">
            <w:pPr>
              <w:spacing w:before="120" w:after="120"/>
              <w:rPr>
                <w:b/>
                <w:bCs/>
                <w:color w:val="FFFFFF" w:themeColor="background1"/>
              </w:rPr>
            </w:pPr>
            <w:r>
              <w:rPr>
                <w:b/>
                <w:bCs/>
                <w:color w:val="FFFFFF" w:themeColor="background1"/>
              </w:rPr>
              <w:t>Date reported to the TFA</w:t>
            </w:r>
          </w:p>
        </w:tc>
        <w:tc>
          <w:tcPr>
            <w:tcW w:w="2551" w:type="dxa"/>
            <w:shd w:val="clear" w:color="auto" w:fill="0070C0"/>
          </w:tcPr>
          <w:p w14:paraId="02CE337D" w14:textId="280F4F84" w:rsidR="00117017" w:rsidRDefault="00117017">
            <w:pPr>
              <w:spacing w:before="120" w:after="120"/>
              <w:rPr>
                <w:b/>
                <w:bCs/>
                <w:color w:val="FFFFFF" w:themeColor="background1"/>
              </w:rPr>
            </w:pPr>
            <w:r>
              <w:rPr>
                <w:b/>
                <w:bCs/>
                <w:color w:val="FFFFFF" w:themeColor="background1"/>
              </w:rPr>
              <w:t>Status – open or resolved</w:t>
            </w:r>
          </w:p>
        </w:tc>
        <w:tc>
          <w:tcPr>
            <w:tcW w:w="2623" w:type="dxa"/>
            <w:shd w:val="clear" w:color="auto" w:fill="0070C0"/>
          </w:tcPr>
          <w:p w14:paraId="3B99E6AD" w14:textId="77777777" w:rsidR="00117017" w:rsidRDefault="00117017">
            <w:pPr>
              <w:spacing w:before="120" w:after="120"/>
              <w:rPr>
                <w:b/>
                <w:bCs/>
                <w:color w:val="FFFFFF" w:themeColor="background1"/>
              </w:rPr>
            </w:pPr>
            <w:r>
              <w:rPr>
                <w:b/>
                <w:bCs/>
                <w:color w:val="FFFFFF" w:themeColor="background1"/>
              </w:rPr>
              <w:t>Actions taken</w:t>
            </w:r>
          </w:p>
        </w:tc>
        <w:tc>
          <w:tcPr>
            <w:tcW w:w="2622" w:type="dxa"/>
            <w:shd w:val="clear" w:color="auto" w:fill="0070C0"/>
          </w:tcPr>
          <w:p w14:paraId="1A335165" w14:textId="77777777" w:rsidR="00117017" w:rsidRDefault="00117017">
            <w:pPr>
              <w:spacing w:before="120" w:after="120"/>
              <w:rPr>
                <w:b/>
                <w:bCs/>
                <w:color w:val="FFFFFF" w:themeColor="background1"/>
              </w:rPr>
            </w:pPr>
            <w:r>
              <w:rPr>
                <w:b/>
                <w:bCs/>
                <w:color w:val="FFFFFF" w:themeColor="background1"/>
              </w:rPr>
              <w:t>Outcome</w:t>
            </w:r>
          </w:p>
        </w:tc>
      </w:tr>
      <w:tr w:rsidR="00117017" w:rsidRPr="00CF06B8" w14:paraId="15C576DA" w14:textId="77777777" w:rsidTr="00A246C7">
        <w:tc>
          <w:tcPr>
            <w:tcW w:w="0" w:type="auto"/>
          </w:tcPr>
          <w:p w14:paraId="7C50402A" w14:textId="77777777" w:rsidR="00117017" w:rsidRPr="00CF06B8" w:rsidRDefault="00117017">
            <w:pPr>
              <w:spacing w:before="120" w:after="120" w:line="240" w:lineRule="auto"/>
              <w:rPr>
                <w:b/>
                <w:bCs/>
              </w:rPr>
            </w:pPr>
          </w:p>
        </w:tc>
        <w:tc>
          <w:tcPr>
            <w:tcW w:w="0" w:type="auto"/>
          </w:tcPr>
          <w:p w14:paraId="2DBA968D" w14:textId="77777777" w:rsidR="00117017" w:rsidRPr="00CF06B8" w:rsidRDefault="00117017">
            <w:pPr>
              <w:spacing w:before="120" w:after="120" w:line="240" w:lineRule="auto"/>
              <w:rPr>
                <w:b/>
                <w:bCs/>
              </w:rPr>
            </w:pPr>
          </w:p>
        </w:tc>
        <w:tc>
          <w:tcPr>
            <w:tcW w:w="1865" w:type="dxa"/>
          </w:tcPr>
          <w:p w14:paraId="6E4B180D" w14:textId="77777777" w:rsidR="00117017" w:rsidRPr="00CF06B8" w:rsidRDefault="00117017">
            <w:pPr>
              <w:spacing w:before="120" w:after="120"/>
              <w:rPr>
                <w:b/>
                <w:bCs/>
              </w:rPr>
            </w:pPr>
          </w:p>
        </w:tc>
        <w:tc>
          <w:tcPr>
            <w:tcW w:w="2551" w:type="dxa"/>
          </w:tcPr>
          <w:p w14:paraId="6A2E6C79" w14:textId="2A3FD7EB" w:rsidR="00117017" w:rsidRPr="00CF06B8" w:rsidRDefault="00117017">
            <w:pPr>
              <w:spacing w:before="120" w:after="120"/>
              <w:rPr>
                <w:b/>
                <w:bCs/>
              </w:rPr>
            </w:pPr>
          </w:p>
        </w:tc>
        <w:tc>
          <w:tcPr>
            <w:tcW w:w="2623" w:type="dxa"/>
          </w:tcPr>
          <w:p w14:paraId="12044237" w14:textId="77777777" w:rsidR="00117017" w:rsidRPr="00CF06B8" w:rsidRDefault="00117017">
            <w:pPr>
              <w:spacing w:before="120" w:after="120"/>
              <w:rPr>
                <w:b/>
                <w:bCs/>
              </w:rPr>
            </w:pPr>
          </w:p>
        </w:tc>
        <w:tc>
          <w:tcPr>
            <w:tcW w:w="2622" w:type="dxa"/>
          </w:tcPr>
          <w:p w14:paraId="486CECCE" w14:textId="77777777" w:rsidR="00117017" w:rsidRPr="00CF06B8" w:rsidRDefault="00117017">
            <w:pPr>
              <w:spacing w:before="120" w:after="120"/>
              <w:rPr>
                <w:b/>
                <w:bCs/>
              </w:rPr>
            </w:pPr>
          </w:p>
        </w:tc>
      </w:tr>
      <w:tr w:rsidR="00117017" w:rsidRPr="00CF06B8" w14:paraId="2622C19F" w14:textId="77777777" w:rsidTr="00A246C7">
        <w:tc>
          <w:tcPr>
            <w:tcW w:w="0" w:type="auto"/>
          </w:tcPr>
          <w:p w14:paraId="536D3EC5" w14:textId="77777777" w:rsidR="00117017" w:rsidRPr="00CF06B8" w:rsidRDefault="00117017">
            <w:pPr>
              <w:spacing w:before="120" w:after="120"/>
              <w:rPr>
                <w:b/>
                <w:bCs/>
              </w:rPr>
            </w:pPr>
          </w:p>
        </w:tc>
        <w:tc>
          <w:tcPr>
            <w:tcW w:w="0" w:type="auto"/>
          </w:tcPr>
          <w:p w14:paraId="210DE08A" w14:textId="77777777" w:rsidR="00117017" w:rsidRPr="00CF06B8" w:rsidRDefault="00117017">
            <w:pPr>
              <w:spacing w:before="120" w:after="120"/>
              <w:rPr>
                <w:b/>
                <w:bCs/>
              </w:rPr>
            </w:pPr>
          </w:p>
        </w:tc>
        <w:tc>
          <w:tcPr>
            <w:tcW w:w="1865" w:type="dxa"/>
          </w:tcPr>
          <w:p w14:paraId="13813C6B" w14:textId="77777777" w:rsidR="00117017" w:rsidRPr="00CF06B8" w:rsidRDefault="00117017">
            <w:pPr>
              <w:spacing w:before="120" w:after="120"/>
              <w:rPr>
                <w:b/>
                <w:bCs/>
              </w:rPr>
            </w:pPr>
          </w:p>
        </w:tc>
        <w:tc>
          <w:tcPr>
            <w:tcW w:w="2551" w:type="dxa"/>
          </w:tcPr>
          <w:p w14:paraId="2C6BC0DC" w14:textId="3983E1FB" w:rsidR="00117017" w:rsidRPr="00CF06B8" w:rsidRDefault="00117017">
            <w:pPr>
              <w:spacing w:before="120" w:after="120"/>
              <w:rPr>
                <w:b/>
                <w:bCs/>
              </w:rPr>
            </w:pPr>
          </w:p>
        </w:tc>
        <w:tc>
          <w:tcPr>
            <w:tcW w:w="2623" w:type="dxa"/>
          </w:tcPr>
          <w:p w14:paraId="3CD290A3" w14:textId="77777777" w:rsidR="00117017" w:rsidRPr="00CF06B8" w:rsidRDefault="00117017">
            <w:pPr>
              <w:spacing w:before="120" w:after="120"/>
              <w:rPr>
                <w:b/>
                <w:bCs/>
              </w:rPr>
            </w:pPr>
          </w:p>
        </w:tc>
        <w:tc>
          <w:tcPr>
            <w:tcW w:w="2622" w:type="dxa"/>
          </w:tcPr>
          <w:p w14:paraId="75039973" w14:textId="77777777" w:rsidR="00117017" w:rsidRPr="00CF06B8" w:rsidRDefault="00117017">
            <w:pPr>
              <w:spacing w:before="120" w:after="120"/>
              <w:rPr>
                <w:b/>
                <w:bCs/>
              </w:rPr>
            </w:pPr>
          </w:p>
        </w:tc>
      </w:tr>
      <w:tr w:rsidR="00117017" w:rsidRPr="00CF06B8" w14:paraId="34E170CC" w14:textId="77777777" w:rsidTr="00A246C7">
        <w:tc>
          <w:tcPr>
            <w:tcW w:w="0" w:type="auto"/>
          </w:tcPr>
          <w:p w14:paraId="1E6AB985" w14:textId="77777777" w:rsidR="00117017" w:rsidRPr="00CF06B8" w:rsidRDefault="00117017">
            <w:pPr>
              <w:spacing w:before="120" w:after="120"/>
              <w:rPr>
                <w:b/>
                <w:bCs/>
              </w:rPr>
            </w:pPr>
          </w:p>
        </w:tc>
        <w:tc>
          <w:tcPr>
            <w:tcW w:w="0" w:type="auto"/>
          </w:tcPr>
          <w:p w14:paraId="7F5BE51A" w14:textId="77777777" w:rsidR="00117017" w:rsidRPr="00CF06B8" w:rsidRDefault="00117017">
            <w:pPr>
              <w:spacing w:before="120" w:after="120"/>
              <w:rPr>
                <w:b/>
                <w:bCs/>
              </w:rPr>
            </w:pPr>
          </w:p>
        </w:tc>
        <w:tc>
          <w:tcPr>
            <w:tcW w:w="1865" w:type="dxa"/>
          </w:tcPr>
          <w:p w14:paraId="02DC6AEE" w14:textId="77777777" w:rsidR="00117017" w:rsidRPr="00CF06B8" w:rsidRDefault="00117017">
            <w:pPr>
              <w:spacing w:before="120" w:after="120"/>
              <w:rPr>
                <w:b/>
                <w:bCs/>
              </w:rPr>
            </w:pPr>
          </w:p>
        </w:tc>
        <w:tc>
          <w:tcPr>
            <w:tcW w:w="2551" w:type="dxa"/>
          </w:tcPr>
          <w:p w14:paraId="037102B9" w14:textId="42AD066D" w:rsidR="00117017" w:rsidRPr="00CF06B8" w:rsidRDefault="00117017">
            <w:pPr>
              <w:spacing w:before="120" w:after="120"/>
              <w:rPr>
                <w:b/>
                <w:bCs/>
              </w:rPr>
            </w:pPr>
          </w:p>
        </w:tc>
        <w:tc>
          <w:tcPr>
            <w:tcW w:w="2623" w:type="dxa"/>
          </w:tcPr>
          <w:p w14:paraId="21821274" w14:textId="77777777" w:rsidR="00117017" w:rsidRPr="00CF06B8" w:rsidRDefault="00117017">
            <w:pPr>
              <w:spacing w:before="120" w:after="120"/>
              <w:rPr>
                <w:b/>
                <w:bCs/>
              </w:rPr>
            </w:pPr>
          </w:p>
        </w:tc>
        <w:tc>
          <w:tcPr>
            <w:tcW w:w="2622" w:type="dxa"/>
          </w:tcPr>
          <w:p w14:paraId="160ABC2B" w14:textId="77777777" w:rsidR="00117017" w:rsidRPr="00CF06B8" w:rsidRDefault="00117017">
            <w:pPr>
              <w:spacing w:before="120" w:after="120"/>
              <w:rPr>
                <w:b/>
                <w:bCs/>
              </w:rPr>
            </w:pPr>
          </w:p>
        </w:tc>
      </w:tr>
    </w:tbl>
    <w:p w14:paraId="47B11E45" w14:textId="77777777" w:rsidR="00117017" w:rsidRDefault="00117017" w:rsidP="00117017">
      <w:pPr>
        <w:spacing w:before="0"/>
        <w:rPr>
          <w:i/>
          <w:iCs/>
        </w:rPr>
      </w:pPr>
      <w:r w:rsidRPr="00AB3FC3">
        <w:rPr>
          <w:i/>
          <w:iCs/>
        </w:rPr>
        <w:t>Add additional rows if needed</w:t>
      </w:r>
    </w:p>
    <w:p w14:paraId="70E326F0" w14:textId="77777777" w:rsidR="00117017" w:rsidRDefault="00117017" w:rsidP="00117017">
      <w:pPr>
        <w:spacing w:before="0" w:after="0"/>
        <w:rPr>
          <w:b/>
          <w:bCs/>
        </w:rPr>
      </w:pPr>
    </w:p>
    <w:p w14:paraId="2A861F71" w14:textId="77777777" w:rsidR="00065E37" w:rsidRDefault="00065E37">
      <w:pPr>
        <w:keepLines w:val="0"/>
        <w:spacing w:before="120" w:after="240"/>
        <w:rPr>
          <w:b/>
          <w:bCs/>
          <w:color w:val="002060"/>
          <w:sz w:val="28"/>
          <w:szCs w:val="28"/>
        </w:rPr>
      </w:pPr>
      <w:r>
        <w:rPr>
          <w:b/>
          <w:bCs/>
          <w:color w:val="002060"/>
          <w:sz w:val="28"/>
          <w:szCs w:val="28"/>
        </w:rPr>
        <w:br w:type="page"/>
      </w:r>
    </w:p>
    <w:p w14:paraId="7FFAA058" w14:textId="32BA2765" w:rsidR="00337603" w:rsidRPr="00065E37" w:rsidRDefault="00065E37" w:rsidP="00065E37">
      <w:pPr>
        <w:pStyle w:val="ListParagraph"/>
        <w:numPr>
          <w:ilvl w:val="0"/>
          <w:numId w:val="46"/>
        </w:numPr>
        <w:ind w:left="284" w:hanging="284"/>
        <w:rPr>
          <w:b/>
          <w:bCs/>
          <w:color w:val="002060"/>
          <w:sz w:val="28"/>
          <w:szCs w:val="28"/>
        </w:rPr>
      </w:pPr>
      <w:r>
        <w:rPr>
          <w:b/>
          <w:bCs/>
          <w:color w:val="002060"/>
          <w:sz w:val="28"/>
          <w:szCs w:val="28"/>
        </w:rPr>
        <w:lastRenderedPageBreak/>
        <w:t>S</w:t>
      </w:r>
      <w:r w:rsidR="00337603" w:rsidRPr="00065E37">
        <w:rPr>
          <w:b/>
          <w:bCs/>
          <w:color w:val="002060"/>
          <w:sz w:val="28"/>
          <w:szCs w:val="28"/>
        </w:rPr>
        <w:t>ecurity management plan</w:t>
      </w:r>
    </w:p>
    <w:p w14:paraId="0F15BB88" w14:textId="32EB9C5E" w:rsidR="00B54F9D" w:rsidRDefault="00B54F9D" w:rsidP="00B54F9D">
      <w:r>
        <w:t xml:space="preserve">Per </w:t>
      </w:r>
      <w:r w:rsidRPr="00787419">
        <w:rPr>
          <w:i/>
          <w:iCs/>
        </w:rPr>
        <w:t>Rule 13(7)</w:t>
      </w:r>
      <w:r w:rsidR="00787419" w:rsidRPr="00787419">
        <w:rPr>
          <w:i/>
          <w:iCs/>
        </w:rPr>
        <w:t xml:space="preserve"> of</w:t>
      </w:r>
      <w:r w:rsidR="00787419" w:rsidRPr="00616ABD">
        <w:rPr>
          <w:i/>
          <w:iCs/>
        </w:rPr>
        <w:t xml:space="preserve"> the Digital Identity Services Trust Framework</w:t>
      </w:r>
      <w:r w:rsidR="00787419">
        <w:rPr>
          <w:i/>
          <w:iCs/>
        </w:rPr>
        <w:t xml:space="preserve"> Rules,</w:t>
      </w:r>
      <w:r>
        <w:t xml:space="preserve"> all Trust Framework providers must review their security management plan at the earlier of the following:</w:t>
      </w:r>
    </w:p>
    <w:p w14:paraId="4FC81185" w14:textId="545478CA" w:rsidR="00B54F9D" w:rsidRDefault="00A77D4A" w:rsidP="00B54F9D">
      <w:pPr>
        <w:pStyle w:val="ListParagraph"/>
        <w:numPr>
          <w:ilvl w:val="0"/>
          <w:numId w:val="44"/>
        </w:numPr>
      </w:pPr>
      <w:r>
        <w:t>Twelve months</w:t>
      </w:r>
      <w:r w:rsidR="00B54F9D">
        <w:t xml:space="preserve"> from the previous review; or</w:t>
      </w:r>
    </w:p>
    <w:p w14:paraId="4954EF3C" w14:textId="77777777" w:rsidR="00B54F9D" w:rsidRDefault="00B54F9D" w:rsidP="00B54F9D">
      <w:pPr>
        <w:pStyle w:val="ListParagraph"/>
        <w:numPr>
          <w:ilvl w:val="0"/>
          <w:numId w:val="44"/>
        </w:numPr>
      </w:pPr>
      <w:r>
        <w:t>When there is a change in their structure, function or activities.</w:t>
      </w:r>
    </w:p>
    <w:p w14:paraId="71938E62" w14:textId="276600FC" w:rsidR="000F1AA5" w:rsidRDefault="000F1AA5" w:rsidP="000F1AA5">
      <w:r>
        <w:t>Per Rule 13(8) the security management plan review must</w:t>
      </w:r>
      <w:r w:rsidR="00692964">
        <w:t>:</w:t>
      </w:r>
    </w:p>
    <w:p w14:paraId="3753D0A7" w14:textId="3B9596D4" w:rsidR="00692964" w:rsidRDefault="00692964" w:rsidP="00692964">
      <w:pPr>
        <w:pStyle w:val="ListParagraph"/>
        <w:numPr>
          <w:ilvl w:val="0"/>
          <w:numId w:val="45"/>
        </w:numPr>
      </w:pPr>
      <w:r>
        <w:t>Determine the adequacy of existing policies, procedures and mitigations; and</w:t>
      </w:r>
    </w:p>
    <w:p w14:paraId="398F6BAF" w14:textId="6C2D2237" w:rsidR="00692964" w:rsidRDefault="00692964" w:rsidP="00692964">
      <w:pPr>
        <w:pStyle w:val="ListParagraph"/>
        <w:numPr>
          <w:ilvl w:val="0"/>
          <w:numId w:val="45"/>
        </w:numPr>
      </w:pPr>
      <w:r>
        <w:t>Be updated to respond to any changes regarding risks, threats, and operating environment</w:t>
      </w:r>
      <w:r w:rsidR="00772A60">
        <w:t>; and</w:t>
      </w:r>
    </w:p>
    <w:p w14:paraId="37E53C45" w14:textId="3C92263A" w:rsidR="00772A60" w:rsidRDefault="00772A60" w:rsidP="00692964">
      <w:pPr>
        <w:pStyle w:val="ListParagraph"/>
        <w:numPr>
          <w:ilvl w:val="0"/>
          <w:numId w:val="45"/>
        </w:numPr>
      </w:pPr>
      <w:r>
        <w:t>Include any steps taken and planned in response to any risk areas identified and communicated to Trust Framework providers by the TF Authority.</w:t>
      </w:r>
    </w:p>
    <w:p w14:paraId="72EAF8B6" w14:textId="71FB96E2" w:rsidR="00772A60" w:rsidRDefault="006348FC" w:rsidP="00772A60">
      <w:r>
        <w:t>Rule 13(8)(A) states all Trust Framework providers must provide the results of the security management</w:t>
      </w:r>
      <w:r w:rsidR="00B661BF">
        <w:t xml:space="preserve"> plan</w:t>
      </w:r>
      <w:r>
        <w:t xml:space="preserve"> review </w:t>
      </w:r>
      <w:r w:rsidR="00B661BF">
        <w:t>to the TF Authority in the next annual report following the completion of the security management plan review.</w:t>
      </w:r>
    </w:p>
    <w:p w14:paraId="41BA9F86" w14:textId="008A1DCB" w:rsidR="00B54F9D" w:rsidRPr="005B2B29" w:rsidRDefault="005B2B29" w:rsidP="00B54F9D">
      <w:pPr>
        <w:rPr>
          <w:i/>
          <w:iCs/>
        </w:rPr>
      </w:pPr>
      <w:r w:rsidRPr="005B2B29">
        <w:rPr>
          <w:b/>
          <w:bCs/>
          <w:i/>
          <w:iCs/>
        </w:rPr>
        <w:t>Append the security management plan to this report and send to tfa</w:t>
      </w:r>
      <w:r w:rsidR="00602194">
        <w:rPr>
          <w:b/>
          <w:bCs/>
          <w:i/>
          <w:iCs/>
        </w:rPr>
        <w:t>@dia.</w:t>
      </w:r>
      <w:r w:rsidRPr="005B2B29">
        <w:rPr>
          <w:b/>
          <w:bCs/>
          <w:i/>
          <w:iCs/>
        </w:rPr>
        <w:t>govt.nz</w:t>
      </w:r>
    </w:p>
    <w:p w14:paraId="7887DC27" w14:textId="77777777" w:rsidR="00B54F9D" w:rsidRPr="000F4ADF" w:rsidRDefault="00B54F9D" w:rsidP="00B54F9D">
      <w:pPr>
        <w:spacing w:before="0" w:after="0"/>
      </w:pPr>
    </w:p>
    <w:sectPr w:rsidR="00B54F9D" w:rsidRPr="000F4ADF" w:rsidSect="00117017">
      <w:footerReference w:type="default" r:id="rId17"/>
      <w:pgSz w:w="16840" w:h="11907" w:orient="landscape" w:code="9"/>
      <w:pgMar w:top="1418" w:right="1418" w:bottom="1418" w:left="992" w:header="425"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69FA" w14:textId="77777777" w:rsidR="00EF6387" w:rsidRDefault="00EF6387">
      <w:r>
        <w:separator/>
      </w:r>
    </w:p>
  </w:endnote>
  <w:endnote w:type="continuationSeparator" w:id="0">
    <w:p w14:paraId="5974D9F7" w14:textId="77777777" w:rsidR="00EF6387" w:rsidRDefault="00EF6387">
      <w:r>
        <w:continuationSeparator/>
      </w:r>
    </w:p>
  </w:endnote>
  <w:endnote w:type="continuationNotice" w:id="1">
    <w:p w14:paraId="4D0F650B" w14:textId="77777777" w:rsidR="00EF6387" w:rsidRDefault="00EF63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8F1B" w14:textId="77777777" w:rsidR="005D3404" w:rsidRPr="00F60476" w:rsidRDefault="000D7EDD" w:rsidP="00F60476">
    <w:pPr>
      <w:pStyle w:val="Footer"/>
    </w:pPr>
    <w:r>
      <w:rPr>
        <w:noProof/>
        <w:lang w:eastAsia="en-NZ"/>
      </w:rPr>
      <w:drawing>
        <wp:anchor distT="0" distB="0" distL="114300" distR="114300" simplePos="0" relativeHeight="251658240" behindDoc="0" locked="0" layoutInCell="1" allowOverlap="1" wp14:anchorId="69524595" wp14:editId="14446436">
          <wp:simplePos x="0" y="0"/>
          <wp:positionH relativeFrom="column">
            <wp:posOffset>3485515</wp:posOffset>
          </wp:positionH>
          <wp:positionV relativeFrom="page">
            <wp:posOffset>9999980</wp:posOffset>
          </wp:positionV>
          <wp:extent cx="2276475" cy="233045"/>
          <wp:effectExtent l="0" t="0" r="9525" b="0"/>
          <wp:wrapSquare wrapText="bothSides"/>
          <wp:docPr id="678772561" name="Picture 678772561"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1EC5217E" wp14:editId="0BA2A941">
          <wp:extent cx="2335530" cy="633095"/>
          <wp:effectExtent l="0" t="0" r="0" b="0"/>
          <wp:docPr id="211349590" name="Picture 211349590"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FC99" w14:textId="77777777" w:rsidR="008F5F9C" w:rsidRDefault="008F5F9C" w:rsidP="00E57F71">
    <w:pPr>
      <w:pStyle w:val="Footer"/>
      <w:tabs>
        <w:tab w:val="right" w:pos="9071"/>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27CB" w14:textId="66A194BD" w:rsidR="004518B7" w:rsidRPr="00391C7C" w:rsidRDefault="0043797E" w:rsidP="004518B7">
    <w:pPr>
      <w:pStyle w:val="Footer"/>
      <w:tabs>
        <w:tab w:val="center" w:pos="4678"/>
        <w:tab w:val="right" w:pos="9071"/>
      </w:tabs>
      <w:ind w:right="-1"/>
    </w:pPr>
    <w:r w:rsidRPr="00F52B23">
      <w:rPr>
        <w:i w:val="0"/>
        <w:iCs/>
        <w:noProof/>
      </w:rPr>
      <w:drawing>
        <wp:anchor distT="0" distB="0" distL="114300" distR="114300" simplePos="0" relativeHeight="251658243" behindDoc="1" locked="0" layoutInCell="1" allowOverlap="1" wp14:anchorId="56A7711F" wp14:editId="2F9E5F03">
          <wp:simplePos x="0" y="0"/>
          <wp:positionH relativeFrom="page">
            <wp:align>right</wp:align>
          </wp:positionH>
          <wp:positionV relativeFrom="paragraph">
            <wp:posOffset>382905</wp:posOffset>
          </wp:positionV>
          <wp:extent cx="10675917" cy="229870"/>
          <wp:effectExtent l="0" t="0" r="0" b="0"/>
          <wp:wrapNone/>
          <wp:docPr id="10755907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0675917" cy="229870"/>
                  </a:xfrm>
                  <a:prstGeom prst="rect">
                    <a:avLst/>
                  </a:prstGeom>
                </pic:spPr>
              </pic:pic>
            </a:graphicData>
          </a:graphic>
          <wp14:sizeRelH relativeFrom="page">
            <wp14:pctWidth>0</wp14:pctWidth>
          </wp14:sizeRelH>
          <wp14:sizeRelV relativeFrom="page">
            <wp14:pctHeight>0</wp14:pctHeight>
          </wp14:sizeRelV>
        </wp:anchor>
      </w:drawing>
    </w:r>
    <w:r w:rsidR="004518B7">
      <w:tab/>
    </w:r>
    <w:r>
      <w:tab/>
    </w:r>
    <w:r w:rsidR="004518B7">
      <w:tab/>
    </w:r>
    <w:r>
      <w:tab/>
    </w:r>
    <w:r>
      <w:tab/>
    </w:r>
    <w:r>
      <w:tab/>
    </w:r>
    <w:r>
      <w:tab/>
    </w:r>
    <w:r>
      <w:tab/>
    </w:r>
    <w:r>
      <w:tab/>
    </w:r>
    <w:r>
      <w:tab/>
    </w:r>
    <w:r>
      <w:tab/>
    </w:r>
    <w:r w:rsidR="004518B7" w:rsidRPr="0010117B">
      <w:rPr>
        <w:i w:val="0"/>
        <w:iCs/>
        <w:color w:val="00465D" w:themeColor="text2"/>
      </w:rPr>
      <w:t xml:space="preserve">Page </w:t>
    </w:r>
    <w:r w:rsidR="004518B7" w:rsidRPr="0010117B">
      <w:rPr>
        <w:i w:val="0"/>
        <w:iCs/>
        <w:color w:val="00465D" w:themeColor="text2"/>
      </w:rPr>
      <w:fldChar w:fldCharType="begin"/>
    </w:r>
    <w:r w:rsidR="004518B7" w:rsidRPr="0010117B">
      <w:rPr>
        <w:i w:val="0"/>
        <w:iCs/>
        <w:color w:val="00465D" w:themeColor="text2"/>
      </w:rPr>
      <w:instrText xml:space="preserve"> PAGE  \* Arabic  \* MERGEFORMAT </w:instrText>
    </w:r>
    <w:r w:rsidR="004518B7" w:rsidRPr="0010117B">
      <w:rPr>
        <w:i w:val="0"/>
        <w:iCs/>
        <w:color w:val="00465D" w:themeColor="text2"/>
      </w:rPr>
      <w:fldChar w:fldCharType="separate"/>
    </w:r>
    <w:r w:rsidR="001A2D9E" w:rsidRPr="0010117B">
      <w:rPr>
        <w:i w:val="0"/>
        <w:iCs/>
        <w:noProof/>
        <w:color w:val="00465D" w:themeColor="text2"/>
      </w:rPr>
      <w:t>5</w:t>
    </w:r>
    <w:r w:rsidR="004518B7" w:rsidRPr="0010117B">
      <w:rPr>
        <w:i w:val="0"/>
        <w:iCs/>
        <w:color w:val="00465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7237" w14:textId="77777777" w:rsidR="00EF6387" w:rsidRDefault="00EF6387" w:rsidP="006E29CC">
      <w:pPr>
        <w:pStyle w:val="Spacer"/>
      </w:pPr>
      <w:r>
        <w:separator/>
      </w:r>
    </w:p>
    <w:p w14:paraId="62F7A93B" w14:textId="77777777" w:rsidR="00EF6387" w:rsidRDefault="00EF6387" w:rsidP="006E29CC">
      <w:pPr>
        <w:pStyle w:val="Spacer"/>
      </w:pPr>
    </w:p>
  </w:footnote>
  <w:footnote w:type="continuationSeparator" w:id="0">
    <w:p w14:paraId="4F5FF71E" w14:textId="77777777" w:rsidR="00EF6387" w:rsidRDefault="00EF6387">
      <w:r>
        <w:continuationSeparator/>
      </w:r>
    </w:p>
  </w:footnote>
  <w:footnote w:type="continuationNotice" w:id="1">
    <w:p w14:paraId="76A79D6F" w14:textId="77777777" w:rsidR="00EF6387" w:rsidRDefault="00EF63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F0B5" w14:textId="4FF05BD1" w:rsidR="00505C47" w:rsidRDefault="00505C47">
    <w:pPr>
      <w:pStyle w:val="Header"/>
    </w:pPr>
    <w:r>
      <w:rPr>
        <w:noProof/>
        <w:color w:val="00465D" w:themeColor="text2"/>
      </w:rPr>
      <w:drawing>
        <wp:anchor distT="0" distB="0" distL="114300" distR="114300" simplePos="0" relativeHeight="251658242" behindDoc="1" locked="0" layoutInCell="1" allowOverlap="1" wp14:anchorId="52FF4DF2" wp14:editId="3E981ECF">
          <wp:simplePos x="0" y="0"/>
          <wp:positionH relativeFrom="page">
            <wp:align>left</wp:align>
          </wp:positionH>
          <wp:positionV relativeFrom="paragraph">
            <wp:posOffset>-267830</wp:posOffset>
          </wp:positionV>
          <wp:extent cx="15158118" cy="127000"/>
          <wp:effectExtent l="0" t="0" r="5715" b="6350"/>
          <wp:wrapNone/>
          <wp:docPr id="1394744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EDBF" w14:textId="0AFCF603" w:rsidR="00831004" w:rsidRPr="006600A2" w:rsidRDefault="0010117B" w:rsidP="0010117B">
    <w:pPr>
      <w:pStyle w:val="Header"/>
      <w:jc w:val="center"/>
    </w:pPr>
    <w:r>
      <w:rPr>
        <w:noProof/>
      </w:rPr>
      <w:drawing>
        <wp:anchor distT="0" distB="0" distL="114300" distR="114300" simplePos="0" relativeHeight="251658241" behindDoc="1" locked="0" layoutInCell="1" allowOverlap="1" wp14:anchorId="7A43EB37" wp14:editId="7EEFEB70">
          <wp:simplePos x="0" y="0"/>
          <wp:positionH relativeFrom="page">
            <wp:align>right</wp:align>
          </wp:positionH>
          <wp:positionV relativeFrom="paragraph">
            <wp:posOffset>-119380</wp:posOffset>
          </wp:positionV>
          <wp:extent cx="7556500" cy="10685220"/>
          <wp:effectExtent l="0" t="0" r="6350" b="1905"/>
          <wp:wrapNone/>
          <wp:docPr id="211709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9426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5220"/>
                  </a:xfrm>
                  <a:prstGeom prst="rect">
                    <a:avLst/>
                  </a:prstGeom>
                </pic:spPr>
              </pic:pic>
            </a:graphicData>
          </a:graphic>
          <wp14:sizeRelH relativeFrom="page">
            <wp14:pctWidth>0</wp14:pctWidth>
          </wp14:sizeRelH>
          <wp14:sizeRelV relativeFrom="page">
            <wp14:pctHeight>0</wp14:pctHeight>
          </wp14:sizeRelV>
        </wp:anchor>
      </w:drawing>
    </w:r>
    <w:r w:rsidR="00A246C7">
      <w:rPr>
        <w:rStyle w:val="Footersecurityclassification"/>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ACB3414"/>
    <w:multiLevelType w:val="hybridMultilevel"/>
    <w:tmpl w:val="675A67E6"/>
    <w:lvl w:ilvl="0" w:tplc="A7DC251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22A00679"/>
    <w:multiLevelType w:val="hybridMultilevel"/>
    <w:tmpl w:val="42FE8C24"/>
    <w:lvl w:ilvl="0" w:tplc="CFB6F09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4560A19"/>
    <w:multiLevelType w:val="hybridMultilevel"/>
    <w:tmpl w:val="A5B4954A"/>
    <w:lvl w:ilvl="0" w:tplc="DEAAC8E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68F5832"/>
    <w:multiLevelType w:val="multilevel"/>
    <w:tmpl w:val="805E2C0A"/>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1482FF5"/>
    <w:multiLevelType w:val="hybridMultilevel"/>
    <w:tmpl w:val="393651F0"/>
    <w:lvl w:ilvl="0" w:tplc="9466A87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A37DB5"/>
    <w:multiLevelType w:val="hybridMultilevel"/>
    <w:tmpl w:val="2C60A7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6"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8"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9"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0"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74198767">
    <w:abstractNumId w:val="24"/>
  </w:num>
  <w:num w:numId="2" w16cid:durableId="1207062667">
    <w:abstractNumId w:val="23"/>
  </w:num>
  <w:num w:numId="3" w16cid:durableId="1273786398">
    <w:abstractNumId w:val="19"/>
  </w:num>
  <w:num w:numId="4" w16cid:durableId="424810519">
    <w:abstractNumId w:val="29"/>
  </w:num>
  <w:num w:numId="5" w16cid:durableId="1215119304">
    <w:abstractNumId w:val="25"/>
  </w:num>
  <w:num w:numId="6" w16cid:durableId="930433786">
    <w:abstractNumId w:val="27"/>
  </w:num>
  <w:num w:numId="7" w16cid:durableId="212272483">
    <w:abstractNumId w:val="17"/>
  </w:num>
  <w:num w:numId="8" w16cid:durableId="1878809268">
    <w:abstractNumId w:val="14"/>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1"/>
  </w:num>
  <w:num w:numId="20" w16cid:durableId="1152674450">
    <w:abstractNumId w:val="30"/>
  </w:num>
  <w:num w:numId="21" w16cid:durableId="1438332772">
    <w:abstractNumId w:val="28"/>
  </w:num>
  <w:num w:numId="22" w16cid:durableId="1565139214">
    <w:abstractNumId w:val="26"/>
  </w:num>
  <w:num w:numId="23" w16cid:durableId="903684014">
    <w:abstractNumId w:val="21"/>
  </w:num>
  <w:num w:numId="24" w16cid:durableId="2126150450">
    <w:abstractNumId w:val="18"/>
  </w:num>
  <w:num w:numId="25" w16cid:durableId="1742749743">
    <w:abstractNumId w:val="13"/>
  </w:num>
  <w:num w:numId="26" w16cid:durableId="1870682198">
    <w:abstractNumId w:val="10"/>
  </w:num>
  <w:num w:numId="27" w16cid:durableId="454106318">
    <w:abstractNumId w:val="30"/>
  </w:num>
  <w:num w:numId="28" w16cid:durableId="1148519299">
    <w:abstractNumId w:val="30"/>
  </w:num>
  <w:num w:numId="29" w16cid:durableId="174006530">
    <w:abstractNumId w:val="28"/>
  </w:num>
  <w:num w:numId="30" w16cid:durableId="330647107">
    <w:abstractNumId w:val="28"/>
  </w:num>
  <w:num w:numId="31" w16cid:durableId="55014242">
    <w:abstractNumId w:val="21"/>
  </w:num>
  <w:num w:numId="32" w16cid:durableId="699278986">
    <w:abstractNumId w:val="26"/>
  </w:num>
  <w:num w:numId="33" w16cid:durableId="223806520">
    <w:abstractNumId w:val="21"/>
  </w:num>
  <w:num w:numId="34" w16cid:durableId="718406939">
    <w:abstractNumId w:val="21"/>
  </w:num>
  <w:num w:numId="35" w16cid:durableId="836458975">
    <w:abstractNumId w:val="18"/>
  </w:num>
  <w:num w:numId="36" w16cid:durableId="1261915267">
    <w:abstractNumId w:val="18"/>
  </w:num>
  <w:num w:numId="37" w16cid:durableId="1008092691">
    <w:abstractNumId w:val="18"/>
  </w:num>
  <w:num w:numId="38" w16cid:durableId="1516261315">
    <w:abstractNumId w:val="13"/>
  </w:num>
  <w:num w:numId="39" w16cid:durableId="1562787006">
    <w:abstractNumId w:val="10"/>
  </w:num>
  <w:num w:numId="40" w16cid:durableId="96994471">
    <w:abstractNumId w:val="10"/>
  </w:num>
  <w:num w:numId="41" w16cid:durableId="1458059834">
    <w:abstractNumId w:val="10"/>
  </w:num>
  <w:num w:numId="42" w16cid:durableId="1581400703">
    <w:abstractNumId w:val="12"/>
  </w:num>
  <w:num w:numId="43" w16cid:durableId="608583632">
    <w:abstractNumId w:val="20"/>
  </w:num>
  <w:num w:numId="44" w16cid:durableId="217935975">
    <w:abstractNumId w:val="16"/>
  </w:num>
  <w:num w:numId="45" w16cid:durableId="675961290">
    <w:abstractNumId w:val="15"/>
  </w:num>
  <w:num w:numId="46" w16cid:durableId="173808633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5B"/>
    <w:rsid w:val="00003360"/>
    <w:rsid w:val="00020010"/>
    <w:rsid w:val="00034673"/>
    <w:rsid w:val="000409E2"/>
    <w:rsid w:val="00044EA1"/>
    <w:rsid w:val="00062291"/>
    <w:rsid w:val="00063BB2"/>
    <w:rsid w:val="00065E37"/>
    <w:rsid w:val="00074FB9"/>
    <w:rsid w:val="00076035"/>
    <w:rsid w:val="00077013"/>
    <w:rsid w:val="000846F0"/>
    <w:rsid w:val="00090017"/>
    <w:rsid w:val="00091C3A"/>
    <w:rsid w:val="00092587"/>
    <w:rsid w:val="000953BD"/>
    <w:rsid w:val="000B76A4"/>
    <w:rsid w:val="000D7EDD"/>
    <w:rsid w:val="000E09DC"/>
    <w:rsid w:val="000E677B"/>
    <w:rsid w:val="000F00FD"/>
    <w:rsid w:val="000F1AA5"/>
    <w:rsid w:val="000F1F11"/>
    <w:rsid w:val="000F4ADF"/>
    <w:rsid w:val="000F61AF"/>
    <w:rsid w:val="00100AAB"/>
    <w:rsid w:val="0010117B"/>
    <w:rsid w:val="0010171C"/>
    <w:rsid w:val="00102FAD"/>
    <w:rsid w:val="00104488"/>
    <w:rsid w:val="00117017"/>
    <w:rsid w:val="00121870"/>
    <w:rsid w:val="0013424E"/>
    <w:rsid w:val="001420E8"/>
    <w:rsid w:val="00143173"/>
    <w:rsid w:val="00145D50"/>
    <w:rsid w:val="0015404E"/>
    <w:rsid w:val="00160B81"/>
    <w:rsid w:val="0016433D"/>
    <w:rsid w:val="001A2D9E"/>
    <w:rsid w:val="001A5F55"/>
    <w:rsid w:val="001B646D"/>
    <w:rsid w:val="001C0031"/>
    <w:rsid w:val="001C5785"/>
    <w:rsid w:val="001C718A"/>
    <w:rsid w:val="001C74D9"/>
    <w:rsid w:val="001D0111"/>
    <w:rsid w:val="001E2104"/>
    <w:rsid w:val="001F129D"/>
    <w:rsid w:val="00205FE8"/>
    <w:rsid w:val="00206BA3"/>
    <w:rsid w:val="00213CFF"/>
    <w:rsid w:val="00215160"/>
    <w:rsid w:val="002224B4"/>
    <w:rsid w:val="00226D5E"/>
    <w:rsid w:val="002353EC"/>
    <w:rsid w:val="00237A3D"/>
    <w:rsid w:val="00240E83"/>
    <w:rsid w:val="002502D1"/>
    <w:rsid w:val="00270EEC"/>
    <w:rsid w:val="002715A0"/>
    <w:rsid w:val="00271C76"/>
    <w:rsid w:val="002806A2"/>
    <w:rsid w:val="00297CC7"/>
    <w:rsid w:val="002A194F"/>
    <w:rsid w:val="002A4BD9"/>
    <w:rsid w:val="002A4FE7"/>
    <w:rsid w:val="002B1CEB"/>
    <w:rsid w:val="002B56A2"/>
    <w:rsid w:val="002F0B8B"/>
    <w:rsid w:val="003004C1"/>
    <w:rsid w:val="0030084C"/>
    <w:rsid w:val="00305B4E"/>
    <w:rsid w:val="003129BA"/>
    <w:rsid w:val="003148FC"/>
    <w:rsid w:val="00330820"/>
    <w:rsid w:val="0033460C"/>
    <w:rsid w:val="00336A37"/>
    <w:rsid w:val="00337603"/>
    <w:rsid w:val="00342DBF"/>
    <w:rsid w:val="00354E5B"/>
    <w:rsid w:val="00370FC0"/>
    <w:rsid w:val="00373206"/>
    <w:rsid w:val="00377E2C"/>
    <w:rsid w:val="00391C7C"/>
    <w:rsid w:val="0039686A"/>
    <w:rsid w:val="003A10DA"/>
    <w:rsid w:val="003A12C8"/>
    <w:rsid w:val="003A6FFE"/>
    <w:rsid w:val="003B1A4C"/>
    <w:rsid w:val="003B3A23"/>
    <w:rsid w:val="003C1C4B"/>
    <w:rsid w:val="003C2963"/>
    <w:rsid w:val="003C63D0"/>
    <w:rsid w:val="003D07C2"/>
    <w:rsid w:val="003D353C"/>
    <w:rsid w:val="003F5886"/>
    <w:rsid w:val="003F6556"/>
    <w:rsid w:val="0040020C"/>
    <w:rsid w:val="0040700B"/>
    <w:rsid w:val="00407F54"/>
    <w:rsid w:val="00411341"/>
    <w:rsid w:val="00413966"/>
    <w:rsid w:val="00415CDB"/>
    <w:rsid w:val="00424863"/>
    <w:rsid w:val="0042551E"/>
    <w:rsid w:val="00426491"/>
    <w:rsid w:val="00432BB4"/>
    <w:rsid w:val="00433AD8"/>
    <w:rsid w:val="0043797E"/>
    <w:rsid w:val="00437E84"/>
    <w:rsid w:val="004518B7"/>
    <w:rsid w:val="004550CF"/>
    <w:rsid w:val="004552A0"/>
    <w:rsid w:val="00460A83"/>
    <w:rsid w:val="0046577B"/>
    <w:rsid w:val="00467CF4"/>
    <w:rsid w:val="004734F8"/>
    <w:rsid w:val="00477619"/>
    <w:rsid w:val="00486E6E"/>
    <w:rsid w:val="004A2F83"/>
    <w:rsid w:val="004A5823"/>
    <w:rsid w:val="004A617F"/>
    <w:rsid w:val="004B0AAF"/>
    <w:rsid w:val="004B0F8F"/>
    <w:rsid w:val="004B3924"/>
    <w:rsid w:val="004C4DDD"/>
    <w:rsid w:val="004D06BB"/>
    <w:rsid w:val="004D1706"/>
    <w:rsid w:val="004D243F"/>
    <w:rsid w:val="004D7473"/>
    <w:rsid w:val="004F2ECA"/>
    <w:rsid w:val="00505C47"/>
    <w:rsid w:val="0051048E"/>
    <w:rsid w:val="0051119C"/>
    <w:rsid w:val="00512ACB"/>
    <w:rsid w:val="005202FE"/>
    <w:rsid w:val="0052216D"/>
    <w:rsid w:val="00526115"/>
    <w:rsid w:val="00533FAF"/>
    <w:rsid w:val="005366B6"/>
    <w:rsid w:val="00544C36"/>
    <w:rsid w:val="00555832"/>
    <w:rsid w:val="00561A97"/>
    <w:rsid w:val="00563DAC"/>
    <w:rsid w:val="005675E0"/>
    <w:rsid w:val="00570C00"/>
    <w:rsid w:val="0058206B"/>
    <w:rsid w:val="00585690"/>
    <w:rsid w:val="00593B07"/>
    <w:rsid w:val="00595B33"/>
    <w:rsid w:val="0059662F"/>
    <w:rsid w:val="005B2B29"/>
    <w:rsid w:val="005D3066"/>
    <w:rsid w:val="005D3404"/>
    <w:rsid w:val="005E1818"/>
    <w:rsid w:val="005E4B13"/>
    <w:rsid w:val="005E4C02"/>
    <w:rsid w:val="005F01DF"/>
    <w:rsid w:val="005F76CC"/>
    <w:rsid w:val="005F7FF8"/>
    <w:rsid w:val="00600CA4"/>
    <w:rsid w:val="00602194"/>
    <w:rsid w:val="00602416"/>
    <w:rsid w:val="006041F2"/>
    <w:rsid w:val="00616ABD"/>
    <w:rsid w:val="006225CA"/>
    <w:rsid w:val="006348FC"/>
    <w:rsid w:val="006600A2"/>
    <w:rsid w:val="00662716"/>
    <w:rsid w:val="00667187"/>
    <w:rsid w:val="00677B13"/>
    <w:rsid w:val="00677F4E"/>
    <w:rsid w:val="00680B5C"/>
    <w:rsid w:val="00681A08"/>
    <w:rsid w:val="00683229"/>
    <w:rsid w:val="00685ECF"/>
    <w:rsid w:val="006871D3"/>
    <w:rsid w:val="006875B8"/>
    <w:rsid w:val="00687CA4"/>
    <w:rsid w:val="00687CEA"/>
    <w:rsid w:val="00692964"/>
    <w:rsid w:val="00695B75"/>
    <w:rsid w:val="006A1A95"/>
    <w:rsid w:val="006A1C50"/>
    <w:rsid w:val="006A38B7"/>
    <w:rsid w:val="006B0386"/>
    <w:rsid w:val="006B1CB2"/>
    <w:rsid w:val="006B1DD1"/>
    <w:rsid w:val="006B3396"/>
    <w:rsid w:val="006B48EB"/>
    <w:rsid w:val="006D638F"/>
    <w:rsid w:val="006E29CC"/>
    <w:rsid w:val="006E7BF7"/>
    <w:rsid w:val="007068C8"/>
    <w:rsid w:val="007134D6"/>
    <w:rsid w:val="00715B8F"/>
    <w:rsid w:val="007202D5"/>
    <w:rsid w:val="0073106E"/>
    <w:rsid w:val="007453BF"/>
    <w:rsid w:val="00756BB7"/>
    <w:rsid w:val="0075764B"/>
    <w:rsid w:val="00760C01"/>
    <w:rsid w:val="00761293"/>
    <w:rsid w:val="00761439"/>
    <w:rsid w:val="00767C04"/>
    <w:rsid w:val="00772A60"/>
    <w:rsid w:val="007736A2"/>
    <w:rsid w:val="00773F2E"/>
    <w:rsid w:val="00783BAD"/>
    <w:rsid w:val="00787419"/>
    <w:rsid w:val="00791278"/>
    <w:rsid w:val="007A2767"/>
    <w:rsid w:val="007A2990"/>
    <w:rsid w:val="007A6226"/>
    <w:rsid w:val="007B3C61"/>
    <w:rsid w:val="007B7B62"/>
    <w:rsid w:val="007C42FA"/>
    <w:rsid w:val="007D1918"/>
    <w:rsid w:val="007D3469"/>
    <w:rsid w:val="007D3BAF"/>
    <w:rsid w:val="007D5BC1"/>
    <w:rsid w:val="007E0F00"/>
    <w:rsid w:val="00802AA4"/>
    <w:rsid w:val="0082264B"/>
    <w:rsid w:val="008260F8"/>
    <w:rsid w:val="0082765B"/>
    <w:rsid w:val="00827D09"/>
    <w:rsid w:val="00831004"/>
    <w:rsid w:val="00835BD7"/>
    <w:rsid w:val="00843D71"/>
    <w:rsid w:val="0084745A"/>
    <w:rsid w:val="00860B2B"/>
    <w:rsid w:val="00864959"/>
    <w:rsid w:val="00870045"/>
    <w:rsid w:val="00876E5F"/>
    <w:rsid w:val="008822E1"/>
    <w:rsid w:val="00886DC7"/>
    <w:rsid w:val="00890CE4"/>
    <w:rsid w:val="008A2F93"/>
    <w:rsid w:val="008B7626"/>
    <w:rsid w:val="008C3187"/>
    <w:rsid w:val="008C5E4F"/>
    <w:rsid w:val="008D29AD"/>
    <w:rsid w:val="008D63B7"/>
    <w:rsid w:val="008D6A03"/>
    <w:rsid w:val="008E7FEE"/>
    <w:rsid w:val="008F5F9C"/>
    <w:rsid w:val="008F67F5"/>
    <w:rsid w:val="008F6BCE"/>
    <w:rsid w:val="00900D4B"/>
    <w:rsid w:val="00907486"/>
    <w:rsid w:val="0091672C"/>
    <w:rsid w:val="009170B9"/>
    <w:rsid w:val="00927482"/>
    <w:rsid w:val="009510D2"/>
    <w:rsid w:val="0095112B"/>
    <w:rsid w:val="009669CF"/>
    <w:rsid w:val="00973A6D"/>
    <w:rsid w:val="009865AA"/>
    <w:rsid w:val="00987080"/>
    <w:rsid w:val="0098765A"/>
    <w:rsid w:val="00992A2E"/>
    <w:rsid w:val="00996037"/>
    <w:rsid w:val="009968B0"/>
    <w:rsid w:val="009A6CB2"/>
    <w:rsid w:val="009B0982"/>
    <w:rsid w:val="009B4C99"/>
    <w:rsid w:val="009D28CF"/>
    <w:rsid w:val="009E0514"/>
    <w:rsid w:val="009E4272"/>
    <w:rsid w:val="009E5D36"/>
    <w:rsid w:val="009E7CA0"/>
    <w:rsid w:val="00A0413F"/>
    <w:rsid w:val="00A04392"/>
    <w:rsid w:val="00A16003"/>
    <w:rsid w:val="00A167D7"/>
    <w:rsid w:val="00A246C7"/>
    <w:rsid w:val="00A24FBB"/>
    <w:rsid w:val="00A313C6"/>
    <w:rsid w:val="00A36309"/>
    <w:rsid w:val="00A42ED2"/>
    <w:rsid w:val="00A44B33"/>
    <w:rsid w:val="00A50E00"/>
    <w:rsid w:val="00A52529"/>
    <w:rsid w:val="00A53624"/>
    <w:rsid w:val="00A5766B"/>
    <w:rsid w:val="00A77D4A"/>
    <w:rsid w:val="00A840D6"/>
    <w:rsid w:val="00A8592D"/>
    <w:rsid w:val="00A863E3"/>
    <w:rsid w:val="00A869E3"/>
    <w:rsid w:val="00AA4DDE"/>
    <w:rsid w:val="00AB2F16"/>
    <w:rsid w:val="00AB3A92"/>
    <w:rsid w:val="00AB3FC3"/>
    <w:rsid w:val="00AB478B"/>
    <w:rsid w:val="00AB4AD9"/>
    <w:rsid w:val="00AC79F7"/>
    <w:rsid w:val="00AD6E77"/>
    <w:rsid w:val="00AD7A25"/>
    <w:rsid w:val="00AE4069"/>
    <w:rsid w:val="00AF3A5A"/>
    <w:rsid w:val="00AF5218"/>
    <w:rsid w:val="00B0480E"/>
    <w:rsid w:val="00B1026A"/>
    <w:rsid w:val="00B21166"/>
    <w:rsid w:val="00B263AE"/>
    <w:rsid w:val="00B456E6"/>
    <w:rsid w:val="00B47091"/>
    <w:rsid w:val="00B54F9D"/>
    <w:rsid w:val="00B62134"/>
    <w:rsid w:val="00B62C3E"/>
    <w:rsid w:val="00B645DE"/>
    <w:rsid w:val="00B65857"/>
    <w:rsid w:val="00B661BF"/>
    <w:rsid w:val="00B66698"/>
    <w:rsid w:val="00B745DC"/>
    <w:rsid w:val="00B84350"/>
    <w:rsid w:val="00B855A6"/>
    <w:rsid w:val="00B91098"/>
    <w:rsid w:val="00B91904"/>
    <w:rsid w:val="00B92735"/>
    <w:rsid w:val="00B969ED"/>
    <w:rsid w:val="00BB0D90"/>
    <w:rsid w:val="00BB60C6"/>
    <w:rsid w:val="00BB7984"/>
    <w:rsid w:val="00BC21DA"/>
    <w:rsid w:val="00BC2E7B"/>
    <w:rsid w:val="00BC4265"/>
    <w:rsid w:val="00BC6A06"/>
    <w:rsid w:val="00BD137C"/>
    <w:rsid w:val="00BE1094"/>
    <w:rsid w:val="00BE2FA3"/>
    <w:rsid w:val="00BE5B5B"/>
    <w:rsid w:val="00C03596"/>
    <w:rsid w:val="00C0691C"/>
    <w:rsid w:val="00C15210"/>
    <w:rsid w:val="00C15A13"/>
    <w:rsid w:val="00C21C45"/>
    <w:rsid w:val="00C238D9"/>
    <w:rsid w:val="00C24A9D"/>
    <w:rsid w:val="00C2677E"/>
    <w:rsid w:val="00C31542"/>
    <w:rsid w:val="00C33F45"/>
    <w:rsid w:val="00C6078D"/>
    <w:rsid w:val="00C657CF"/>
    <w:rsid w:val="00C80D62"/>
    <w:rsid w:val="00C86D9A"/>
    <w:rsid w:val="00C8728B"/>
    <w:rsid w:val="00C96BFD"/>
    <w:rsid w:val="00CA5358"/>
    <w:rsid w:val="00CC0F4E"/>
    <w:rsid w:val="00CD502A"/>
    <w:rsid w:val="00CF06B8"/>
    <w:rsid w:val="00CF12CF"/>
    <w:rsid w:val="00CF70DE"/>
    <w:rsid w:val="00D060D2"/>
    <w:rsid w:val="00D14394"/>
    <w:rsid w:val="00D242CD"/>
    <w:rsid w:val="00D341C3"/>
    <w:rsid w:val="00D42843"/>
    <w:rsid w:val="00D45DDE"/>
    <w:rsid w:val="00D5152A"/>
    <w:rsid w:val="00D52371"/>
    <w:rsid w:val="00D56C81"/>
    <w:rsid w:val="00D60A81"/>
    <w:rsid w:val="00D65145"/>
    <w:rsid w:val="00D74314"/>
    <w:rsid w:val="00D82EB0"/>
    <w:rsid w:val="00D92505"/>
    <w:rsid w:val="00DA267C"/>
    <w:rsid w:val="00DA5101"/>
    <w:rsid w:val="00DA79EF"/>
    <w:rsid w:val="00DB0C0B"/>
    <w:rsid w:val="00DB3B74"/>
    <w:rsid w:val="00DC3D90"/>
    <w:rsid w:val="00DC5870"/>
    <w:rsid w:val="00DD0384"/>
    <w:rsid w:val="00DD07C8"/>
    <w:rsid w:val="00DD0901"/>
    <w:rsid w:val="00DD3BD0"/>
    <w:rsid w:val="00DD3DD8"/>
    <w:rsid w:val="00DE16B6"/>
    <w:rsid w:val="00DE36CA"/>
    <w:rsid w:val="00DE4E1D"/>
    <w:rsid w:val="00DE62C4"/>
    <w:rsid w:val="00DE6379"/>
    <w:rsid w:val="00DE7E63"/>
    <w:rsid w:val="00DF2911"/>
    <w:rsid w:val="00E01E02"/>
    <w:rsid w:val="00E26D66"/>
    <w:rsid w:val="00E367C5"/>
    <w:rsid w:val="00E37E71"/>
    <w:rsid w:val="00E42847"/>
    <w:rsid w:val="00E45F25"/>
    <w:rsid w:val="00E46064"/>
    <w:rsid w:val="00E57F71"/>
    <w:rsid w:val="00E604A1"/>
    <w:rsid w:val="00E73AA8"/>
    <w:rsid w:val="00E80228"/>
    <w:rsid w:val="00E84D4A"/>
    <w:rsid w:val="00EA2ED4"/>
    <w:rsid w:val="00EA491A"/>
    <w:rsid w:val="00EB1583"/>
    <w:rsid w:val="00EC23FB"/>
    <w:rsid w:val="00ED313F"/>
    <w:rsid w:val="00ED7681"/>
    <w:rsid w:val="00EE41C2"/>
    <w:rsid w:val="00EF5034"/>
    <w:rsid w:val="00EF6387"/>
    <w:rsid w:val="00EF63C6"/>
    <w:rsid w:val="00F02B57"/>
    <w:rsid w:val="00F034FB"/>
    <w:rsid w:val="00F036E0"/>
    <w:rsid w:val="00F05606"/>
    <w:rsid w:val="00F105F5"/>
    <w:rsid w:val="00F1075A"/>
    <w:rsid w:val="00F22956"/>
    <w:rsid w:val="00F22E82"/>
    <w:rsid w:val="00F24804"/>
    <w:rsid w:val="00F3277D"/>
    <w:rsid w:val="00F337BF"/>
    <w:rsid w:val="00F33D14"/>
    <w:rsid w:val="00F473B6"/>
    <w:rsid w:val="00F52E57"/>
    <w:rsid w:val="00F53E06"/>
    <w:rsid w:val="00F54188"/>
    <w:rsid w:val="00F54CC0"/>
    <w:rsid w:val="00F60476"/>
    <w:rsid w:val="00F652C7"/>
    <w:rsid w:val="00F727A5"/>
    <w:rsid w:val="00F847A9"/>
    <w:rsid w:val="00F93044"/>
    <w:rsid w:val="00F9434B"/>
    <w:rsid w:val="00FA5CC1"/>
    <w:rsid w:val="00FA5FE9"/>
    <w:rsid w:val="00FA67D2"/>
    <w:rsid w:val="00FB302F"/>
    <w:rsid w:val="00FB5A92"/>
    <w:rsid w:val="00FC1C69"/>
    <w:rsid w:val="00FC3739"/>
    <w:rsid w:val="00FC5062"/>
    <w:rsid w:val="00FD0FF9"/>
    <w:rsid w:val="00FD5D29"/>
    <w:rsid w:val="00FE402D"/>
    <w:rsid w:val="00FE5AD9"/>
    <w:rsid w:val="00FE7A33"/>
    <w:rsid w:val="00FF7B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7BB3A"/>
  <w15:docId w15:val="{DEBB0E6E-1781-4DA8-8899-CA53FC8A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72C"/>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8"/>
      </w:numPr>
      <w:spacing w:before="80" w:after="80"/>
    </w:pPr>
  </w:style>
  <w:style w:type="paragraph" w:customStyle="1" w:styleId="List123">
    <w:name w:val="List 1 2 3"/>
    <w:basedOn w:val="Normal"/>
    <w:rsid w:val="00CF12CF"/>
    <w:pPr>
      <w:numPr>
        <w:numId w:val="30"/>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8"/>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basedOn w:val="List123"/>
    <w:uiPriority w:val="34"/>
    <w:semiHidden/>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8"/>
      </w:numPr>
      <w:spacing w:before="80" w:after="80"/>
    </w:pPr>
  </w:style>
  <w:style w:type="paragraph" w:customStyle="1" w:styleId="List123level2">
    <w:name w:val="List 1 2 3 level 2"/>
    <w:basedOn w:val="Normal"/>
    <w:uiPriority w:val="1"/>
    <w:semiHidden/>
    <w:qFormat/>
    <w:rsid w:val="007D3469"/>
    <w:pPr>
      <w:numPr>
        <w:ilvl w:val="1"/>
        <w:numId w:val="30"/>
      </w:numPr>
      <w:spacing w:before="80" w:after="80"/>
    </w:pPr>
  </w:style>
  <w:style w:type="paragraph" w:customStyle="1" w:styleId="List123level3">
    <w:name w:val="List 1 2 3 level 3"/>
    <w:basedOn w:val="Normal"/>
    <w:uiPriority w:val="1"/>
    <w:semiHidden/>
    <w:qFormat/>
    <w:rsid w:val="007D3469"/>
    <w:pPr>
      <w:numPr>
        <w:ilvl w:val="2"/>
        <w:numId w:val="30"/>
      </w:numPr>
      <w:spacing w:before="80" w:after="80"/>
    </w:pPr>
  </w:style>
  <w:style w:type="paragraph" w:customStyle="1" w:styleId="Legislationsection">
    <w:name w:val="Legislation section"/>
    <w:basedOn w:val="Normal"/>
    <w:semiHidden/>
    <w:qFormat/>
    <w:rsid w:val="007D3469"/>
    <w:pPr>
      <w:keepNext/>
      <w:numPr>
        <w:numId w:val="34"/>
      </w:numPr>
      <w:tabs>
        <w:tab w:val="left" w:pos="567"/>
      </w:tabs>
      <w:spacing w:after="60"/>
    </w:pPr>
    <w:rPr>
      <w:b/>
      <w:sz w:val="22"/>
    </w:rPr>
  </w:style>
  <w:style w:type="paragraph" w:customStyle="1" w:styleId="Legislationnumber">
    <w:name w:val="Legislation number"/>
    <w:basedOn w:val="Normal"/>
    <w:semiHidden/>
    <w:qFormat/>
    <w:rsid w:val="007D3469"/>
    <w:pPr>
      <w:numPr>
        <w:numId w:val="3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34"/>
      </w:numPr>
      <w:spacing w:before="60" w:after="60"/>
    </w:pPr>
    <w:rPr>
      <w:sz w:val="22"/>
    </w:rPr>
  </w:style>
  <w:style w:type="paragraph" w:customStyle="1" w:styleId="Legislationi">
    <w:name w:val="Legislation (i)"/>
    <w:basedOn w:val="Normal"/>
    <w:semiHidden/>
    <w:qFormat/>
    <w:rsid w:val="007D3469"/>
    <w:pPr>
      <w:numPr>
        <w:ilvl w:val="3"/>
        <w:numId w:val="34"/>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qFormat/>
    <w:rsid w:val="007D3469"/>
    <w:rPr>
      <w:sz w:val="24"/>
    </w:rPr>
  </w:style>
  <w:style w:type="paragraph" w:customStyle="1" w:styleId="Tableheading12pt">
    <w:name w:val="Table heading 12pt"/>
    <w:basedOn w:val="Tableheading"/>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00465D"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37"/>
      </w:numPr>
      <w:spacing w:after="120"/>
    </w:pPr>
  </w:style>
  <w:style w:type="paragraph" w:customStyle="1" w:styleId="Numberedpara2level2a">
    <w:name w:val="Numbered para (2) level 2 (a)"/>
    <w:basedOn w:val="Normal"/>
    <w:semiHidden/>
    <w:qFormat/>
    <w:rsid w:val="007D3469"/>
    <w:pPr>
      <w:numPr>
        <w:ilvl w:val="1"/>
        <w:numId w:val="37"/>
      </w:numPr>
      <w:spacing w:after="120"/>
    </w:pPr>
  </w:style>
  <w:style w:type="paragraph" w:customStyle="1" w:styleId="Numberedpara2level3i">
    <w:name w:val="Numbered para (2) level 3 (i)"/>
    <w:basedOn w:val="Normal"/>
    <w:semiHidden/>
    <w:qFormat/>
    <w:rsid w:val="007D3469"/>
    <w:pPr>
      <w:numPr>
        <w:ilvl w:val="2"/>
        <w:numId w:val="37"/>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38"/>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41"/>
      </w:numPr>
      <w:spacing w:after="120"/>
    </w:pPr>
  </w:style>
  <w:style w:type="paragraph" w:customStyle="1" w:styleId="Numberedpara3level211">
    <w:name w:val="Numbered para (3) level 2 (1.1)"/>
    <w:basedOn w:val="Normal"/>
    <w:semiHidden/>
    <w:qFormat/>
    <w:rsid w:val="007D3469"/>
    <w:pPr>
      <w:numPr>
        <w:ilvl w:val="1"/>
        <w:numId w:val="41"/>
      </w:numPr>
      <w:spacing w:after="120"/>
    </w:pPr>
  </w:style>
  <w:style w:type="paragraph" w:customStyle="1" w:styleId="Numberedpara3level3111">
    <w:name w:val="Numbered para (3) level 3 (1.1.1)"/>
    <w:basedOn w:val="Normal"/>
    <w:semiHidden/>
    <w:qFormat/>
    <w:rsid w:val="007D3469"/>
    <w:pPr>
      <w:numPr>
        <w:ilvl w:val="2"/>
        <w:numId w:val="41"/>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styleId="UnresolvedMention">
    <w:name w:val="Unresolved Mention"/>
    <w:basedOn w:val="DefaultParagraphFont"/>
    <w:uiPriority w:val="99"/>
    <w:semiHidden/>
    <w:unhideWhenUsed/>
    <w:rsid w:val="003B1A4C"/>
    <w:rPr>
      <w:color w:val="605E5C"/>
      <w:shd w:val="clear" w:color="auto" w:fill="E1DFDD"/>
    </w:rPr>
  </w:style>
  <w:style w:type="paragraph" w:styleId="Revision">
    <w:name w:val="Revision"/>
    <w:hidden/>
    <w:uiPriority w:val="99"/>
    <w:semiHidden/>
    <w:rsid w:val="00F02B57"/>
    <w:pPr>
      <w:spacing w:before="0" w:after="0"/>
    </w:pPr>
    <w:rPr>
      <w:rFonts w:eastAsiaTheme="minorHAnsi"/>
      <w:lang w:eastAsia="en-US"/>
    </w:rPr>
  </w:style>
  <w:style w:type="paragraph" w:styleId="CommentText">
    <w:name w:val="annotation text"/>
    <w:basedOn w:val="Normal"/>
    <w:link w:val="CommentTextChar"/>
    <w:uiPriority w:val="99"/>
    <w:unhideWhenUsed/>
    <w:rsid w:val="00F02B57"/>
    <w:rPr>
      <w:sz w:val="20"/>
      <w:szCs w:val="20"/>
    </w:rPr>
  </w:style>
  <w:style w:type="character" w:customStyle="1" w:styleId="CommentTextChar">
    <w:name w:val="Comment Text Char"/>
    <w:basedOn w:val="DefaultParagraphFont"/>
    <w:link w:val="CommentText"/>
    <w:uiPriority w:val="99"/>
    <w:rsid w:val="00F02B5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02B57"/>
    <w:rPr>
      <w:b/>
      <w:bCs/>
    </w:rPr>
  </w:style>
  <w:style w:type="character" w:customStyle="1" w:styleId="CommentSubjectChar">
    <w:name w:val="Comment Subject Char"/>
    <w:basedOn w:val="CommentTextChar"/>
    <w:link w:val="CommentSubject"/>
    <w:uiPriority w:val="99"/>
    <w:semiHidden/>
    <w:rsid w:val="00F02B5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FA@dia.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Current approved external facing</TermName>
          <TermId xmlns="http://schemas.microsoft.com/office/infopath/2007/PartnerControls">c9a5ab9d-db23-4214-b967-3f4c1ae5071d</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137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RVVNZMSHEFWY-604484687-317</_dlc_DocId>
    <_dlc_DocIdUrl xmlns="89d0c6c8-e2e3-4e07-91a0-0308145fc47f">
      <Url>https://azurediagovt.sharepoint.com/sites/ECMS-RGL-TFA/_layouts/15/DocIdRedir.aspx?ID=RVVNZMSHEFWY-604484687-317</Url>
      <Description>RVVNZMSHEFWY-604484687-317</Description>
    </_dlc_DocIdUrl>
    <lcf76f155ced4ddcb4097134ff3c332f xmlns="577c9b0f-fd23-467a-a460-6b28c5e4f5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3" ma:contentTypeDescription="Administration Document" ma:contentTypeScope="" ma:versionID="8a6e9097d043675dd16b8047b2c27c42">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288f61ccc2c92172f7ea0e11744f97d1"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CCD6C8-075D-4F50-9CED-2B54CAC5A953}">
  <ds:schemaRefs>
    <ds:schemaRef ds:uri="89d0c6c8-e2e3-4e07-91a0-0308145fc47f"/>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577c9b0f-fd23-467a-a460-6b28c5e4f5c4"/>
    <ds:schemaRef ds:uri="5750afb1-007a-481a-96df-a71c539b9a3e"/>
  </ds:schemaRefs>
</ds:datastoreItem>
</file>

<file path=customXml/itemProps2.xml><?xml version="1.0" encoding="utf-8"?>
<ds:datastoreItem xmlns:ds="http://schemas.openxmlformats.org/officeDocument/2006/customXml" ds:itemID="{DF95BBF4-234D-47F1-A04B-7DED9FBA5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4.xml><?xml version="1.0" encoding="utf-8"?>
<ds:datastoreItem xmlns:ds="http://schemas.openxmlformats.org/officeDocument/2006/customXml" ds:itemID="{6B7C3F93-4D48-4454-9C60-EEC05C1B6E56}">
  <ds:schemaRefs>
    <ds:schemaRef ds:uri="http://schemas.microsoft.com/sharepoint/v3/contenttype/forms"/>
  </ds:schemaRefs>
</ds:datastoreItem>
</file>

<file path=customXml/itemProps5.xml><?xml version="1.0" encoding="utf-8"?>
<ds:datastoreItem xmlns:ds="http://schemas.openxmlformats.org/officeDocument/2006/customXml" ds:itemID="{F829BEC7-56C0-42EE-9479-696E489AA2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3357</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TFA annual report template</vt:lpstr>
    </vt:vector>
  </TitlesOfParts>
  <Company>Department of Internal Affairs</Company>
  <LinksUpToDate>false</LinksUpToDate>
  <CharactersWithSpaces>3901</CharactersWithSpaces>
  <SharedDoc>false</SharedDoc>
  <HLinks>
    <vt:vector size="6" baseType="variant">
      <vt:variant>
        <vt:i4>3604574</vt:i4>
      </vt:variant>
      <vt:variant>
        <vt:i4>2</vt:i4>
      </vt:variant>
      <vt:variant>
        <vt:i4>0</vt:i4>
      </vt:variant>
      <vt:variant>
        <vt:i4>5</vt:i4>
      </vt:variant>
      <vt:variant>
        <vt:lpwstr>mailto:tfa@dia.govt.nz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TFA annual report template</dc:title>
  <dc:subject/>
  <dc:creator>Deanne Myers</dc:creator>
  <cp:keywords/>
  <dc:description>Released 1 February 2011</dc:description>
  <cp:lastModifiedBy>Deanne Myers</cp:lastModifiedBy>
  <cp:revision>3</cp:revision>
  <cp:lastPrinted>2014-07-03T05:31:00Z</cp:lastPrinted>
  <dcterms:created xsi:type="dcterms:W3CDTF">2025-10-19T20:49:00Z</dcterms:created>
  <dcterms:modified xsi:type="dcterms:W3CDTF">2025-10-19T20:50:00Z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_dlc_DocIdItemGuid">
    <vt:lpwstr>78c1c510-b814-461a-8ccd-2da4573b56b4</vt:lpwstr>
  </property>
  <property fmtid="{D5CDD505-2E9C-101B-9397-08002B2CF9AE}" pid="7" name="TaxKeyword">
    <vt:lpwstr/>
  </property>
  <property fmtid="{D5CDD505-2E9C-101B-9397-08002B2CF9AE}" pid="8" name="DIAAdministrationDocumentType">
    <vt:lpwstr/>
  </property>
  <property fmtid="{D5CDD505-2E9C-101B-9397-08002B2CF9AE}" pid="9" name="C3Topic">
    <vt:lpwstr>137;#Current approved external facing|c9a5ab9d-db23-4214-b967-3f4c1ae5071d</vt:lpwstr>
  </property>
  <property fmtid="{D5CDD505-2E9C-101B-9397-08002B2CF9AE}" pid="10" name="DIAPolicyorProcedureType">
    <vt:lpwstr/>
  </property>
  <property fmtid="{D5CDD505-2E9C-101B-9397-08002B2CF9AE}" pid="11" name="l504324679ca4f359f0071672918f91b">
    <vt:lpwstr/>
  </property>
  <property fmtid="{D5CDD505-2E9C-101B-9397-08002B2CF9AE}" pid="12" name="EmReceivedByName">
    <vt:lpwstr/>
  </property>
  <property fmtid="{D5CDD505-2E9C-101B-9397-08002B2CF9AE}" pid="13" name="DIAParentID">
    <vt:lpwstr/>
  </property>
  <property fmtid="{D5CDD505-2E9C-101B-9397-08002B2CF9AE}" pid="14" name="DocumentSetDescription">
    <vt:lpwstr/>
  </property>
  <property fmtid="{D5CDD505-2E9C-101B-9397-08002B2CF9AE}" pid="15" name="DIAClassificationLevel3">
    <vt:lpwstr/>
  </property>
  <property fmtid="{D5CDD505-2E9C-101B-9397-08002B2CF9AE}" pid="16" name="DIAFolderNamedAccess">
    <vt:lpwstr/>
  </property>
  <property fmtid="{D5CDD505-2E9C-101B-9397-08002B2CF9AE}" pid="17" name="DIAOffsiteTyp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DIALegacyNotes">
    <vt:lpwstr/>
  </property>
  <property fmtid="{D5CDD505-2E9C-101B-9397-08002B2CF9AE}" pid="23" name="DIAGroupPermissions">
    <vt:lpwstr/>
  </property>
  <property fmtid="{D5CDD505-2E9C-101B-9397-08002B2CF9AE}" pid="24" name="DIALegacyVersionNumberDIA">
    <vt:lpwstr/>
  </property>
  <property fmtid="{D5CDD505-2E9C-101B-9397-08002B2CF9AE}" pid="25" name="DIAClassificationLevel4">
    <vt:lpwstr/>
  </property>
  <property fmtid="{D5CDD505-2E9C-101B-9397-08002B2CF9AE}" pid="26" name="EmCC">
    <vt:lpwstr/>
  </property>
  <property fmtid="{D5CDD505-2E9C-101B-9397-08002B2CF9AE}" pid="27" name="EmBCCSMTPAddress">
    <vt:lpwstr/>
  </property>
  <property fmtid="{D5CDD505-2E9C-101B-9397-08002B2CF9AE}" pid="28" name="DIASourceDataSource">
    <vt:lpwstr/>
  </property>
  <property fmtid="{D5CDD505-2E9C-101B-9397-08002B2CF9AE}" pid="29" name="DIALegacyModifiedByDIA">
    <vt:lpwstr/>
  </property>
  <property fmtid="{D5CDD505-2E9C-101B-9397-08002B2CF9AE}" pid="30" name="EmFromName">
    <vt:lpwstr/>
  </property>
  <property fmtid="{D5CDD505-2E9C-101B-9397-08002B2CF9AE}" pid="31" name="EmType">
    <vt:lpwstr/>
  </property>
  <property fmtid="{D5CDD505-2E9C-101B-9397-08002B2CF9AE}" pid="32" name="DIAFolderComments">
    <vt:lpwstr/>
  </property>
  <property fmtid="{D5CDD505-2E9C-101B-9397-08002B2CF9AE}" pid="33" name="DIADocumentIdentifier">
    <vt:lpwstr/>
  </property>
  <property fmtid="{D5CDD505-2E9C-101B-9397-08002B2CF9AE}" pid="34" name="DIALegacySecurityClassification">
    <vt:lpwstr/>
  </property>
  <property fmtid="{D5CDD505-2E9C-101B-9397-08002B2CF9AE}" pid="35" name="EmTo">
    <vt:lpwstr/>
  </property>
  <property fmtid="{D5CDD505-2E9C-101B-9397-08002B2CF9AE}" pid="36" name="EmToSMTPAddress">
    <vt:lpwstr/>
  </property>
  <property fmtid="{D5CDD505-2E9C-101B-9397-08002B2CF9AE}" pid="37" name="_ExtendedDescription">
    <vt:lpwstr/>
  </property>
  <property fmtid="{D5CDD505-2E9C-101B-9397-08002B2CF9AE}" pid="38" name="DIALegacyDocumentIDDIA">
    <vt:lpwstr/>
  </property>
  <property fmtid="{D5CDD505-2E9C-101B-9397-08002B2CF9AE}" pid="39" name="DIAFolderMedium">
    <vt:lpwstr/>
  </property>
  <property fmtid="{D5CDD505-2E9C-101B-9397-08002B2CF9AE}" pid="40" name="DIAFolderStatus">
    <vt:lpwstr/>
  </property>
  <property fmtid="{D5CDD505-2E9C-101B-9397-08002B2CF9AE}" pid="41" name="DIADocumentDetails">
    <vt:lpwstr/>
  </property>
  <property fmtid="{D5CDD505-2E9C-101B-9397-08002B2CF9AE}" pid="42" name="URL">
    <vt:lpwstr/>
  </property>
  <property fmtid="{D5CDD505-2E9C-101B-9397-08002B2CF9AE}" pid="43" name="DIAClassificationLevel5">
    <vt:lpwstr/>
  </property>
  <property fmtid="{D5CDD505-2E9C-101B-9397-08002B2CF9AE}" pid="44" name="DIANamedAccess">
    <vt:lpwstr/>
  </property>
  <property fmtid="{D5CDD505-2E9C-101B-9397-08002B2CF9AE}" pid="45" name="DIADocumentPublicationState">
    <vt:lpwstr/>
  </property>
  <property fmtid="{D5CDD505-2E9C-101B-9397-08002B2CF9AE}" pid="46" name="EmCon">
    <vt:lpwstr/>
  </property>
  <property fmtid="{D5CDD505-2E9C-101B-9397-08002B2CF9AE}" pid="47" name="DIAFolderBoxInformation">
    <vt:lpwstr/>
  </property>
  <property fmtid="{D5CDD505-2E9C-101B-9397-08002B2CF9AE}" pid="48" name="DIALoanStatus">
    <vt:lpwstr/>
  </property>
  <property fmtid="{D5CDD505-2E9C-101B-9397-08002B2CF9AE}" pid="49" name="EmCompanies">
    <vt:lpwstr/>
  </property>
  <property fmtid="{D5CDD505-2E9C-101B-9397-08002B2CF9AE}" pid="50" name="EmFromSMTPAddress">
    <vt:lpwstr/>
  </property>
  <property fmtid="{D5CDD505-2E9C-101B-9397-08002B2CF9AE}" pid="51" name="DIADocumentTypeDIA">
    <vt:lpwstr/>
  </property>
  <property fmtid="{D5CDD505-2E9C-101B-9397-08002B2CF9AE}" pid="52" name="DIALegacyCreatedByDIA">
    <vt:lpwstr/>
  </property>
  <property fmtid="{D5CDD505-2E9C-101B-9397-08002B2CF9AE}" pid="53" name="EmAttachCount">
    <vt:lpwstr/>
  </property>
  <property fmtid="{D5CDD505-2E9C-101B-9397-08002B2CF9AE}" pid="54" name="DIALegacyCommentsDIA">
    <vt:lpwstr/>
  </property>
  <property fmtid="{D5CDD505-2E9C-101B-9397-08002B2CF9AE}" pid="55" name="DIAClassificationLevel6">
    <vt:lpwstr/>
  </property>
  <property fmtid="{D5CDD505-2E9C-101B-9397-08002B2CF9AE}" pid="56" name="DIAFolderGroupPermissions">
    <vt:lpwstr/>
  </property>
  <property fmtid="{D5CDD505-2E9C-101B-9397-08002B2CF9AE}" pid="57" name="DIABusinessActivity">
    <vt:lpwstr/>
  </property>
  <property fmtid="{D5CDD505-2E9C-101B-9397-08002B2CF9AE}" pid="58" name="EmReceivedOnBehalfOfName">
    <vt:lpwstr/>
  </property>
  <property fmtid="{D5CDD505-2E9C-101B-9397-08002B2CF9AE}" pid="59" name="DIADocumentAuthor">
    <vt:lpwstr/>
  </property>
  <property fmtid="{D5CDD505-2E9C-101B-9397-08002B2CF9AE}" pid="60" name="DIARelatedItems">
    <vt:lpwstr/>
  </property>
  <property fmtid="{D5CDD505-2E9C-101B-9397-08002B2CF9AE}" pid="61" name="DIAClassificationLevel1">
    <vt:lpwstr/>
  </property>
  <property fmtid="{D5CDD505-2E9C-101B-9397-08002B2CF9AE}" pid="62" name="EmReplyRecipients">
    <vt:lpwstr/>
  </property>
  <property fmtid="{D5CDD505-2E9C-101B-9397-08002B2CF9AE}" pid="63" name="EmRetentionPolicyName">
    <vt:lpwstr/>
  </property>
  <property fmtid="{D5CDD505-2E9C-101B-9397-08002B2CF9AE}" pid="64" name="EmReplyRecipientNames">
    <vt:lpwstr/>
  </property>
  <property fmtid="{D5CDD505-2E9C-101B-9397-08002B2CF9AE}" pid="65" name="EmFrom">
    <vt:lpwstr/>
  </property>
  <property fmtid="{D5CDD505-2E9C-101B-9397-08002B2CF9AE}" pid="66" name="DIAFolderName">
    <vt:lpwstr/>
  </property>
  <property fmtid="{D5CDD505-2E9C-101B-9397-08002B2CF9AE}" pid="67" name="EmAttachmentNames">
    <vt:lpwstr/>
  </property>
  <property fmtid="{D5CDD505-2E9C-101B-9397-08002B2CF9AE}" pid="68" name="DIASourceLocation">
    <vt:lpwstr/>
  </property>
  <property fmtid="{D5CDD505-2E9C-101B-9397-08002B2CF9AE}" pid="69" name="EmSentOnBehalfOfName">
    <vt:lpwstr/>
  </property>
  <property fmtid="{D5CDD505-2E9C-101B-9397-08002B2CF9AE}" pid="70" name="DIALegacyFolderID">
    <vt:lpwstr/>
  </property>
  <property fmtid="{D5CDD505-2E9C-101B-9397-08002B2CF9AE}" pid="71" name="DIADocumentMedium">
    <vt:lpwstr/>
  </property>
  <property fmtid="{D5CDD505-2E9C-101B-9397-08002B2CF9AE}" pid="72" name="EmCCSMTPAddress">
    <vt:lpwstr/>
  </property>
  <property fmtid="{D5CDD505-2E9C-101B-9397-08002B2CF9AE}" pid="73" name="EmConversationID">
    <vt:lpwstr/>
  </property>
  <property fmtid="{D5CDD505-2E9C-101B-9397-08002B2CF9AE}" pid="74" name="DIAFolderBoxID">
    <vt:lpwstr/>
  </property>
  <property fmtid="{D5CDD505-2E9C-101B-9397-08002B2CF9AE}" pid="75" name="EmBCC">
    <vt:lpwstr/>
  </property>
  <property fmtid="{D5CDD505-2E9C-101B-9397-08002B2CF9AE}" pid="76" name="EmID">
    <vt:lpwstr/>
  </property>
  <property fmtid="{D5CDD505-2E9C-101B-9397-08002B2CF9AE}" pid="77" name="DIAClassificationLevel2">
    <vt:lpwstr/>
  </property>
  <property fmtid="{D5CDD505-2E9C-101B-9397-08002B2CF9AE}" pid="78" name="DIADocumentRegisteredBy">
    <vt:lpwstr/>
  </property>
  <property fmtid="{D5CDD505-2E9C-101B-9397-08002B2CF9AE}" pid="79" name="DIAFolderDetails">
    <vt:lpwstr/>
  </property>
  <property fmtid="{D5CDD505-2E9C-101B-9397-08002B2CF9AE}" pid="80" name="DIADocumentEmailFields">
    <vt:lpwstr/>
  </property>
  <property fmtid="{D5CDD505-2E9C-101B-9397-08002B2CF9AE}" pid="81" name="DIAAuditHistory">
    <vt:lpwstr/>
  </property>
  <property fmtid="{D5CDD505-2E9C-101B-9397-08002B2CF9AE}" pid="82" name="EmSubject">
    <vt:lpwstr/>
  </property>
  <property fmtid="{D5CDD505-2E9C-101B-9397-08002B2CF9AE}" pid="83" name="MediaServiceImageTags">
    <vt:lpwstr/>
  </property>
</Properties>
</file>