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978F5" w14:textId="48B1121B" w:rsidR="00B077AD" w:rsidRPr="005618E4" w:rsidRDefault="4D3700CB" w:rsidP="0069594F">
      <w:pPr>
        <w:pStyle w:val="Heading1"/>
        <w:jc w:val="center"/>
        <w:rPr>
          <w:b/>
          <w:bCs/>
        </w:rPr>
      </w:pPr>
      <w:r w:rsidRPr="005618E4">
        <w:rPr>
          <w:b/>
          <w:bCs/>
        </w:rPr>
        <w:t>Transparency of senior leaders’ conflicts of interest</w:t>
      </w:r>
    </w:p>
    <w:p w14:paraId="1B3167B2" w14:textId="223B4446" w:rsidR="4D3700CB" w:rsidRPr="005618E4" w:rsidRDefault="00B077AD" w:rsidP="005618E4">
      <w:pPr>
        <w:keepNext/>
        <w:keepLines/>
        <w:spacing w:before="160" w:after="80" w:line="278" w:lineRule="auto"/>
        <w:outlineLvl w:val="2"/>
        <w:rPr>
          <w:rFonts w:ascii="Aptos" w:eastAsia="Aptos" w:hAnsi="Aptos" w:cs="Aptos"/>
          <w:color w:val="0F4761" w:themeColor="accent1" w:themeShade="BF"/>
          <w:sz w:val="28"/>
          <w:szCs w:val="28"/>
          <w:lang w:val="en-GB"/>
        </w:rPr>
      </w:pPr>
      <w:r w:rsidRPr="005618E4">
        <w:rPr>
          <w:rFonts w:ascii="Aptos" w:eastAsia="Aptos" w:hAnsi="Aptos" w:cs="Aptos"/>
          <w:color w:val="0F4761" w:themeColor="accent1" w:themeShade="BF"/>
          <w:sz w:val="28"/>
          <w:szCs w:val="28"/>
          <w:lang w:val="en-GB"/>
        </w:rPr>
        <w:t>R</w:t>
      </w:r>
      <w:r w:rsidR="4D3700CB" w:rsidRPr="005618E4">
        <w:rPr>
          <w:rFonts w:ascii="Aptos" w:eastAsia="Aptos" w:hAnsi="Aptos" w:cs="Aptos"/>
          <w:color w:val="0F4761" w:themeColor="accent1" w:themeShade="BF"/>
          <w:sz w:val="28"/>
          <w:szCs w:val="28"/>
          <w:lang w:val="en-GB"/>
        </w:rPr>
        <w:t>eference group meeting</w:t>
      </w:r>
      <w:r w:rsidR="4FC93D59" w:rsidRPr="005618E4">
        <w:rPr>
          <w:rFonts w:ascii="Aptos" w:eastAsia="Aptos" w:hAnsi="Aptos" w:cs="Aptos"/>
          <w:color w:val="0F4761" w:themeColor="accent1" w:themeShade="BF"/>
          <w:sz w:val="28"/>
          <w:szCs w:val="28"/>
          <w:lang w:val="en-GB"/>
        </w:rPr>
        <w:t xml:space="preserve">, </w:t>
      </w:r>
      <w:r w:rsidR="4D3700CB" w:rsidRPr="005618E4">
        <w:rPr>
          <w:rFonts w:ascii="Aptos" w:eastAsia="Aptos" w:hAnsi="Aptos" w:cs="Aptos"/>
          <w:color w:val="0F4761" w:themeColor="accent1" w:themeShade="BF"/>
          <w:sz w:val="28"/>
          <w:szCs w:val="28"/>
          <w:lang w:val="en-GB"/>
        </w:rPr>
        <w:t>13 May 2026</w:t>
      </w:r>
    </w:p>
    <w:p w14:paraId="53EE7956" w14:textId="34A73C0B" w:rsidR="4D3700CB" w:rsidRPr="006C659B" w:rsidRDefault="00A36518">
      <w:r>
        <w:rPr>
          <w:b/>
          <w:bCs/>
        </w:rPr>
        <w:t>Present</w:t>
      </w:r>
      <w:r w:rsidR="4D3700CB" w:rsidRPr="006C659B">
        <w:t>: Darrin Sykes</w:t>
      </w:r>
      <w:r w:rsidR="12E1FABF" w:rsidRPr="006C659B">
        <w:t xml:space="preserve">, </w:t>
      </w:r>
      <w:r w:rsidR="4D3700CB" w:rsidRPr="006C659B">
        <w:t>Philip</w:t>
      </w:r>
      <w:r w:rsidR="5270C443" w:rsidRPr="006C659B">
        <w:t>p</w:t>
      </w:r>
      <w:r w:rsidR="4D3700CB" w:rsidRPr="006C659B">
        <w:t xml:space="preserve">a </w:t>
      </w:r>
      <w:r w:rsidR="4644EC3C" w:rsidRPr="006C659B">
        <w:t>Yasbek</w:t>
      </w:r>
      <w:r w:rsidR="5F1FD07C" w:rsidRPr="006C659B">
        <w:t xml:space="preserve">, Kirsten Patterson, </w:t>
      </w:r>
      <w:r w:rsidR="21A5F422" w:rsidRPr="006C659B">
        <w:t xml:space="preserve">Vishnu </w:t>
      </w:r>
      <w:r w:rsidR="061C5672" w:rsidRPr="006C659B">
        <w:t xml:space="preserve">Seger (PSC), Callum Butler (PSC), Rodney Scott (PSC), and Cathy Adank (PSC). </w:t>
      </w:r>
    </w:p>
    <w:p w14:paraId="0017B6DB" w14:textId="41B7E4A2" w:rsidR="00622C48" w:rsidRPr="005618E4" w:rsidRDefault="008B650A" w:rsidP="005618E4">
      <w:pPr>
        <w:keepNext/>
        <w:keepLines/>
        <w:spacing w:before="160" w:after="80" w:line="278" w:lineRule="auto"/>
        <w:outlineLvl w:val="2"/>
        <w:rPr>
          <w:rFonts w:ascii="Aptos" w:eastAsia="Aptos" w:hAnsi="Aptos" w:cs="Aptos"/>
          <w:color w:val="0F4761" w:themeColor="accent1" w:themeShade="BF"/>
          <w:sz w:val="28"/>
          <w:szCs w:val="28"/>
          <w:lang w:val="en-GB"/>
        </w:rPr>
      </w:pPr>
      <w:r w:rsidRPr="005618E4">
        <w:rPr>
          <w:rFonts w:ascii="Aptos" w:eastAsia="Aptos" w:hAnsi="Aptos" w:cs="Aptos"/>
          <w:color w:val="0F4761" w:themeColor="accent1" w:themeShade="BF"/>
          <w:sz w:val="28"/>
          <w:szCs w:val="28"/>
          <w:lang w:val="en-GB"/>
        </w:rPr>
        <w:t>Key points</w:t>
      </w:r>
      <w:r w:rsidR="00622C48" w:rsidRPr="005618E4">
        <w:rPr>
          <w:rFonts w:ascii="Aptos" w:eastAsia="Aptos" w:hAnsi="Aptos" w:cs="Aptos"/>
          <w:color w:val="0F4761" w:themeColor="accent1" w:themeShade="BF"/>
          <w:sz w:val="28"/>
          <w:szCs w:val="28"/>
          <w:lang w:val="en-GB"/>
        </w:rPr>
        <w:t xml:space="preserve"> </w:t>
      </w:r>
    </w:p>
    <w:p w14:paraId="1B3FF736" w14:textId="770CA5A3" w:rsidR="00622C48" w:rsidRPr="00622C48" w:rsidRDefault="00622C48" w:rsidP="00622C48">
      <w:pPr>
        <w:pStyle w:val="ListParagraph"/>
        <w:numPr>
          <w:ilvl w:val="0"/>
          <w:numId w:val="10"/>
        </w:numPr>
        <w:spacing w:line="278" w:lineRule="auto"/>
      </w:pPr>
      <w:r w:rsidRPr="00622C48">
        <w:t xml:space="preserve">Transparency </w:t>
      </w:r>
      <w:r w:rsidR="008A5F66">
        <w:t>has trade-offs</w:t>
      </w:r>
      <w:r w:rsidRPr="00622C48">
        <w:t xml:space="preserve">: it may build public trust but could discourage full disclosure or deter candidates from senior roles. </w:t>
      </w:r>
    </w:p>
    <w:p w14:paraId="7FFB9680" w14:textId="50305BFB" w:rsidR="00622C48" w:rsidRPr="00622C48" w:rsidRDefault="00622C48" w:rsidP="00622C48">
      <w:pPr>
        <w:pStyle w:val="ListParagraph"/>
        <w:numPr>
          <w:ilvl w:val="0"/>
          <w:numId w:val="10"/>
        </w:numPr>
        <w:spacing w:line="278" w:lineRule="auto"/>
      </w:pPr>
      <w:r w:rsidRPr="00622C48">
        <w:t>A risk</w:t>
      </w:r>
      <w:r w:rsidRPr="00622C48">
        <w:noBreakHyphen/>
        <w:t>based, principles</w:t>
      </w:r>
      <w:r w:rsidRPr="00622C48">
        <w:noBreakHyphen/>
        <w:t xml:space="preserve">driven coverage model is preferred, </w:t>
      </w:r>
      <w:r w:rsidR="00A20581">
        <w:t xml:space="preserve">but </w:t>
      </w:r>
      <w:r w:rsidR="00127AE0">
        <w:t>a phased approach beginning</w:t>
      </w:r>
      <w:r w:rsidR="00A20581">
        <w:t xml:space="preserve"> with</w:t>
      </w:r>
      <w:r w:rsidRPr="00622C48">
        <w:t xml:space="preserve"> tiers 1–2 </w:t>
      </w:r>
      <w:r w:rsidR="00127AE0">
        <w:t xml:space="preserve">is a </w:t>
      </w:r>
      <w:r w:rsidRPr="00622C48">
        <w:t>pragmatic starting</w:t>
      </w:r>
      <w:r w:rsidR="00127AE0">
        <w:t xml:space="preserve"> point. </w:t>
      </w:r>
    </w:p>
    <w:p w14:paraId="71C99C11" w14:textId="560F040A" w:rsidR="00622C48" w:rsidRPr="00622C48" w:rsidRDefault="00622C48" w:rsidP="00622C48">
      <w:pPr>
        <w:pStyle w:val="ListParagraph"/>
        <w:numPr>
          <w:ilvl w:val="0"/>
          <w:numId w:val="10"/>
        </w:numPr>
        <w:spacing w:line="278" w:lineRule="auto"/>
      </w:pPr>
      <w:r w:rsidRPr="00622C48">
        <w:t xml:space="preserve">Coverage should extend beyond </w:t>
      </w:r>
      <w:r w:rsidR="003373D5">
        <w:t>core agencies</w:t>
      </w:r>
      <w:r w:rsidRPr="00622C48">
        <w:t xml:space="preserve"> to include Crown entities and board </w:t>
      </w:r>
      <w:r w:rsidR="00B23237" w:rsidRPr="00622C48">
        <w:t>members;</w:t>
      </w:r>
      <w:r w:rsidRPr="00622C48">
        <w:t xml:space="preserve"> however </w:t>
      </w:r>
      <w:r w:rsidR="00AF7848">
        <w:t xml:space="preserve">public service </w:t>
      </w:r>
      <w:r w:rsidR="003373D5">
        <w:t>agencies</w:t>
      </w:r>
      <w:r w:rsidRPr="00622C48">
        <w:t xml:space="preserve"> represent a logical starting point</w:t>
      </w:r>
      <w:r w:rsidR="00056393">
        <w:t>,</w:t>
      </w:r>
      <w:r w:rsidRPr="00622C48">
        <w:t xml:space="preserve"> given the Commission’s levers. </w:t>
      </w:r>
    </w:p>
    <w:p w14:paraId="5E7523D9" w14:textId="12B4B243" w:rsidR="00622C48" w:rsidRPr="00622C48" w:rsidRDefault="00622C48" w:rsidP="00622C48">
      <w:pPr>
        <w:pStyle w:val="ListParagraph"/>
        <w:numPr>
          <w:ilvl w:val="0"/>
          <w:numId w:val="10"/>
        </w:numPr>
        <w:spacing w:line="278" w:lineRule="auto"/>
      </w:pPr>
      <w:r w:rsidRPr="00622C48">
        <w:t xml:space="preserve">Disclosure should be comprehensive internally, but publication should be more selective, focusing on </w:t>
      </w:r>
      <w:r w:rsidR="00172E16">
        <w:t xml:space="preserve">relevant conflicts only. </w:t>
      </w:r>
      <w:r w:rsidRPr="00622C48">
        <w:t xml:space="preserve"> </w:t>
      </w:r>
    </w:p>
    <w:p w14:paraId="4EED166B" w14:textId="77777777" w:rsidR="00622C48" w:rsidRPr="00622C48" w:rsidRDefault="00622C48" w:rsidP="00622C48">
      <w:pPr>
        <w:pStyle w:val="ListParagraph"/>
        <w:numPr>
          <w:ilvl w:val="0"/>
          <w:numId w:val="10"/>
        </w:numPr>
        <w:spacing w:line="278" w:lineRule="auto"/>
      </w:pPr>
      <w:r w:rsidRPr="00622C48">
        <w:t>Non</w:t>
      </w:r>
      <w:r w:rsidRPr="00622C48">
        <w:noBreakHyphen/>
        <w:t xml:space="preserve">financial interests (relationships, affiliations) are important but hard to standardise and raise privacy/safety concerns. </w:t>
      </w:r>
    </w:p>
    <w:p w14:paraId="7881F7DC" w14:textId="77777777" w:rsidR="00622C48" w:rsidRPr="00622C48" w:rsidRDefault="00622C48" w:rsidP="00622C48">
      <w:pPr>
        <w:pStyle w:val="ListParagraph"/>
        <w:numPr>
          <w:ilvl w:val="0"/>
          <w:numId w:val="10"/>
        </w:numPr>
        <w:spacing w:line="278" w:lineRule="auto"/>
      </w:pPr>
      <w:r w:rsidRPr="00622C48">
        <w:t xml:space="preserve">Strong emphasis on balancing public trust with privacy and personal safety risks. </w:t>
      </w:r>
    </w:p>
    <w:p w14:paraId="2D0EAFD4" w14:textId="77777777" w:rsidR="00622C48" w:rsidRPr="00622C48" w:rsidRDefault="00622C48" w:rsidP="00622C48">
      <w:pPr>
        <w:pStyle w:val="ListParagraph"/>
        <w:numPr>
          <w:ilvl w:val="0"/>
          <w:numId w:val="10"/>
        </w:numPr>
        <w:spacing w:line="278" w:lineRule="auto"/>
      </w:pPr>
      <w:r w:rsidRPr="00622C48">
        <w:t xml:space="preserve">Management plans are critical to demonstrate that conflicts are actively managed. </w:t>
      </w:r>
    </w:p>
    <w:p w14:paraId="277C2A10" w14:textId="08A1F5D3" w:rsidR="00622C48" w:rsidRPr="00622C48" w:rsidRDefault="00622C48" w:rsidP="00622C48">
      <w:pPr>
        <w:pStyle w:val="ListParagraph"/>
        <w:numPr>
          <w:ilvl w:val="0"/>
          <w:numId w:val="10"/>
        </w:numPr>
        <w:spacing w:line="278" w:lineRule="auto"/>
      </w:pPr>
      <w:r w:rsidRPr="00622C48">
        <w:t xml:space="preserve">A decentralised publishing model (agency-led) with common </w:t>
      </w:r>
      <w:r w:rsidR="00270793">
        <w:t>guidance</w:t>
      </w:r>
      <w:r w:rsidRPr="00622C48">
        <w:t xml:space="preserve"> is the most feasible near</w:t>
      </w:r>
      <w:r w:rsidRPr="00622C48">
        <w:noBreakHyphen/>
        <w:t xml:space="preserve">term option. </w:t>
      </w:r>
    </w:p>
    <w:p w14:paraId="61667DAE" w14:textId="77777777" w:rsidR="00622C48" w:rsidRPr="00ED4D9D" w:rsidRDefault="00622C48" w:rsidP="00622C48">
      <w:pPr>
        <w:pStyle w:val="ListParagraph"/>
        <w:numPr>
          <w:ilvl w:val="0"/>
          <w:numId w:val="10"/>
        </w:numPr>
        <w:spacing w:line="278" w:lineRule="auto"/>
      </w:pPr>
      <w:r w:rsidRPr="00622C48">
        <w:t>A phased implementation is also</w:t>
      </w:r>
      <w:r w:rsidRPr="00ED4D9D">
        <w:t xml:space="preserve"> pr</w:t>
      </w:r>
      <w:r>
        <w:t>agmatic</w:t>
      </w:r>
      <w:r w:rsidRPr="00ED4D9D">
        <w:t>, starting with the most senior roles.</w:t>
      </w:r>
    </w:p>
    <w:p w14:paraId="3ED95028" w14:textId="656E3D85" w:rsidR="477CA8B6" w:rsidRPr="005618E4" w:rsidRDefault="00E5691C" w:rsidP="005618E4">
      <w:pPr>
        <w:keepNext/>
        <w:keepLines/>
        <w:spacing w:before="160" w:after="80" w:line="278" w:lineRule="auto"/>
        <w:outlineLvl w:val="2"/>
        <w:rPr>
          <w:rFonts w:ascii="Aptos" w:eastAsia="Aptos" w:hAnsi="Aptos" w:cs="Aptos"/>
          <w:color w:val="0F4761" w:themeColor="accent1" w:themeShade="BF"/>
          <w:sz w:val="28"/>
          <w:szCs w:val="28"/>
          <w:lang w:val="en-GB"/>
        </w:rPr>
      </w:pPr>
      <w:r w:rsidRPr="005618E4">
        <w:rPr>
          <w:rFonts w:ascii="Aptos" w:eastAsia="Aptos" w:hAnsi="Aptos" w:cs="Aptos"/>
          <w:color w:val="0F4761" w:themeColor="accent1" w:themeShade="BF"/>
          <w:sz w:val="28"/>
          <w:szCs w:val="28"/>
          <w:lang w:val="en-GB"/>
        </w:rPr>
        <w:t>Overall</w:t>
      </w:r>
      <w:r w:rsidR="00565C4C" w:rsidRPr="005618E4">
        <w:rPr>
          <w:rFonts w:ascii="Aptos" w:eastAsia="Aptos" w:hAnsi="Aptos" w:cs="Aptos"/>
          <w:color w:val="0F4761" w:themeColor="accent1" w:themeShade="BF"/>
          <w:sz w:val="28"/>
          <w:szCs w:val="28"/>
          <w:lang w:val="en-GB"/>
        </w:rPr>
        <w:t xml:space="preserve"> discussion about the project </w:t>
      </w:r>
    </w:p>
    <w:p w14:paraId="25A0E741" w14:textId="76D05001" w:rsidR="4B22ABBB" w:rsidRPr="006C659B" w:rsidRDefault="4B22ABBB" w:rsidP="50D6F60F">
      <w:pPr>
        <w:pStyle w:val="ListParagraph"/>
        <w:numPr>
          <w:ilvl w:val="0"/>
          <w:numId w:val="1"/>
        </w:numPr>
      </w:pPr>
      <w:r w:rsidRPr="006C659B">
        <w:t xml:space="preserve">Transparency and management of conflicts are two different things – would transparency </w:t>
      </w:r>
      <w:r w:rsidR="2DD93BDB" w:rsidRPr="006C659B">
        <w:t xml:space="preserve">have prevented some of the recent examples of poorly managed conflicts? </w:t>
      </w:r>
    </w:p>
    <w:p w14:paraId="01461C10" w14:textId="47E67CC0" w:rsidR="2DD93BDB" w:rsidRPr="006C659B" w:rsidRDefault="2DD93BDB" w:rsidP="50D6F60F">
      <w:pPr>
        <w:pStyle w:val="ListParagraph"/>
        <w:numPr>
          <w:ilvl w:val="0"/>
          <w:numId w:val="1"/>
        </w:numPr>
      </w:pPr>
      <w:r w:rsidRPr="006C659B">
        <w:t>Transparency</w:t>
      </w:r>
      <w:r w:rsidR="00F23723">
        <w:t xml:space="preserve"> can </w:t>
      </w:r>
      <w:r w:rsidRPr="006C659B">
        <w:t xml:space="preserve">drive better practice but can </w:t>
      </w:r>
      <w:r w:rsidR="1471F5B8" w:rsidRPr="006C659B">
        <w:t xml:space="preserve">also </w:t>
      </w:r>
      <w:r w:rsidR="001F3362">
        <w:t>have a chilling effect</w:t>
      </w:r>
      <w:r w:rsidR="00565C4C">
        <w:t>.</w:t>
      </w:r>
    </w:p>
    <w:p w14:paraId="2D6BF6A2" w14:textId="3019134C" w:rsidR="7830ABB7" w:rsidRDefault="7830ABB7" w:rsidP="50D6F60F">
      <w:pPr>
        <w:pStyle w:val="ListParagraph"/>
        <w:numPr>
          <w:ilvl w:val="0"/>
          <w:numId w:val="1"/>
        </w:numPr>
      </w:pPr>
      <w:r w:rsidRPr="006C659B">
        <w:t xml:space="preserve">There are currently requirements for senior leaders to have management plans in </w:t>
      </w:r>
      <w:r w:rsidR="0055281E" w:rsidRPr="006C659B">
        <w:t>place,</w:t>
      </w:r>
      <w:r w:rsidRPr="006C659B">
        <w:t xml:space="preserve"> but the public don’t see this. </w:t>
      </w:r>
      <w:r w:rsidR="00C06B39">
        <w:t xml:space="preserve">Publication can help address perception concerns. </w:t>
      </w:r>
    </w:p>
    <w:p w14:paraId="4641D76F" w14:textId="35471240" w:rsidR="00CE39CF" w:rsidRDefault="00EB261C" w:rsidP="00CE39CF">
      <w:pPr>
        <w:pStyle w:val="ListParagraph"/>
        <w:numPr>
          <w:ilvl w:val="0"/>
          <w:numId w:val="1"/>
        </w:numPr>
        <w:spacing w:line="278" w:lineRule="auto"/>
      </w:pPr>
      <w:r>
        <w:lastRenderedPageBreak/>
        <w:t xml:space="preserve">Publication </w:t>
      </w:r>
      <w:r w:rsidR="00BA4E07">
        <w:t>may make it less likely that someone with an unman</w:t>
      </w:r>
      <w:r w:rsidR="00CE39CF" w:rsidRPr="000640E1">
        <w:t xml:space="preserve">ageable conflict </w:t>
      </w:r>
      <w:r w:rsidR="00BA4E07">
        <w:t xml:space="preserve">is appointed to a role. </w:t>
      </w:r>
    </w:p>
    <w:p w14:paraId="07BA12B6" w14:textId="35B8127B" w:rsidR="50D6F60F" w:rsidRPr="005618E4" w:rsidRDefault="0055281E" w:rsidP="005618E4">
      <w:pPr>
        <w:keepNext/>
        <w:keepLines/>
        <w:spacing w:before="160" w:after="80" w:line="278" w:lineRule="auto"/>
        <w:outlineLvl w:val="2"/>
        <w:rPr>
          <w:rFonts w:ascii="Aptos" w:eastAsia="Aptos" w:hAnsi="Aptos" w:cs="Aptos"/>
          <w:color w:val="0F4761" w:themeColor="accent1" w:themeShade="BF"/>
          <w:sz w:val="28"/>
          <w:szCs w:val="28"/>
          <w:lang w:val="en-GB"/>
        </w:rPr>
      </w:pPr>
      <w:r w:rsidRPr="005618E4">
        <w:rPr>
          <w:rFonts w:ascii="Aptos" w:eastAsia="Aptos" w:hAnsi="Aptos" w:cs="Aptos"/>
          <w:color w:val="0F4761" w:themeColor="accent1" w:themeShade="BF"/>
          <w:sz w:val="28"/>
          <w:szCs w:val="28"/>
          <w:lang w:val="en-GB"/>
        </w:rPr>
        <w:t xml:space="preserve">Who should new transparency requirements cover? </w:t>
      </w:r>
    </w:p>
    <w:p w14:paraId="1929A56F" w14:textId="56B2F25B" w:rsidR="0055281E" w:rsidRDefault="000E3437" w:rsidP="00391CBE">
      <w:pPr>
        <w:pStyle w:val="ListParagraph"/>
        <w:numPr>
          <w:ilvl w:val="0"/>
          <w:numId w:val="2"/>
        </w:numPr>
      </w:pPr>
      <w:r>
        <w:t>A risk-</w:t>
      </w:r>
      <w:r w:rsidR="00391CBE">
        <w:t xml:space="preserve">based approach </w:t>
      </w:r>
      <w:r>
        <w:t xml:space="preserve">is crucial. Look at </w:t>
      </w:r>
      <w:r w:rsidR="00391CBE">
        <w:t xml:space="preserve">inclusion </w:t>
      </w:r>
      <w:r>
        <w:t>based on</w:t>
      </w:r>
      <w:r w:rsidR="00391CBE">
        <w:t xml:space="preserve"> </w:t>
      </w:r>
      <w:r w:rsidR="00875453">
        <w:t xml:space="preserve">things like decision-making </w:t>
      </w:r>
      <w:r w:rsidR="00591912">
        <w:t xml:space="preserve">influence </w:t>
      </w:r>
      <w:r w:rsidR="00875453">
        <w:t xml:space="preserve">and spending, </w:t>
      </w:r>
      <w:r w:rsidR="00353E2D">
        <w:t xml:space="preserve">rather than </w:t>
      </w:r>
      <w:r w:rsidR="00391CBE">
        <w:t>organisational tier</w:t>
      </w:r>
      <w:r w:rsidR="00353E2D">
        <w:t xml:space="preserve">. </w:t>
      </w:r>
    </w:p>
    <w:p w14:paraId="287DE0D1" w14:textId="217B2A3D" w:rsidR="00EE6D1E" w:rsidRDefault="007F2629" w:rsidP="00391CBE">
      <w:pPr>
        <w:pStyle w:val="ListParagraph"/>
        <w:numPr>
          <w:ilvl w:val="0"/>
          <w:numId w:val="2"/>
        </w:numPr>
      </w:pPr>
      <w:r>
        <w:t>S</w:t>
      </w:r>
      <w:r w:rsidR="00EE6D1E">
        <w:t>enior</w:t>
      </w:r>
      <w:r>
        <w:t xml:space="preserve"> staff</w:t>
      </w:r>
      <w:r w:rsidR="00EE6D1E">
        <w:t xml:space="preserve"> </w:t>
      </w:r>
      <w:r w:rsidR="00B56EC1">
        <w:t xml:space="preserve">with budget responsibility </w:t>
      </w:r>
      <w:r>
        <w:t>are</w:t>
      </w:r>
      <w:r w:rsidR="00B56EC1">
        <w:t xml:space="preserve"> </w:t>
      </w:r>
      <w:r w:rsidR="00EE6D1E">
        <w:t>relevant,</w:t>
      </w:r>
      <w:r w:rsidR="00591912">
        <w:t xml:space="preserve"> there’s</w:t>
      </w:r>
      <w:r w:rsidR="00EE6D1E">
        <w:t xml:space="preserve"> </w:t>
      </w:r>
      <w:r w:rsidR="00666AA2">
        <w:t>no</w:t>
      </w:r>
      <w:r w:rsidR="00EE6D1E">
        <w:t xml:space="preserve"> need to inc</w:t>
      </w:r>
      <w:r w:rsidR="009E167A">
        <w:t>lude</w:t>
      </w:r>
      <w:r w:rsidR="00B56EC1">
        <w:t xml:space="preserve"> f</w:t>
      </w:r>
      <w:r w:rsidR="00666AA2">
        <w:t>rontline roles</w:t>
      </w:r>
      <w:r w:rsidR="009E167A">
        <w:t xml:space="preserve">. </w:t>
      </w:r>
    </w:p>
    <w:p w14:paraId="6B73E3FF" w14:textId="628C1B77" w:rsidR="0069524C" w:rsidRDefault="00BE22E6" w:rsidP="0069524C">
      <w:pPr>
        <w:pStyle w:val="ListParagraph"/>
        <w:numPr>
          <w:ilvl w:val="0"/>
          <w:numId w:val="2"/>
        </w:numPr>
      </w:pPr>
      <w:r>
        <w:t xml:space="preserve">One-size fits all approach </w:t>
      </w:r>
      <w:r w:rsidR="00DD41CD">
        <w:t xml:space="preserve">doesn’t work </w:t>
      </w:r>
      <w:r>
        <w:t>due to differences in organisational size and structure</w:t>
      </w:r>
      <w:r w:rsidR="00666AA2">
        <w:t xml:space="preserve">. </w:t>
      </w:r>
    </w:p>
    <w:p w14:paraId="20CF11F7" w14:textId="5DB938E6" w:rsidR="001D1C7B" w:rsidRDefault="0069524C" w:rsidP="0069524C">
      <w:pPr>
        <w:pStyle w:val="ListParagraph"/>
        <w:numPr>
          <w:ilvl w:val="0"/>
          <w:numId w:val="2"/>
        </w:numPr>
      </w:pPr>
      <w:r>
        <w:t>Crown entities</w:t>
      </w:r>
      <w:r w:rsidR="00DD41CD">
        <w:t xml:space="preserve"> are where a lot of risk</w:t>
      </w:r>
      <w:r w:rsidR="00E6330E">
        <w:t xml:space="preserve"> sits</w:t>
      </w:r>
      <w:r w:rsidR="009B4B82">
        <w:t xml:space="preserve">. </w:t>
      </w:r>
      <w:r w:rsidR="00893321">
        <w:t xml:space="preserve">Other roles </w:t>
      </w:r>
      <w:r w:rsidR="001D1C7B">
        <w:t xml:space="preserve">outside of core public service </w:t>
      </w:r>
      <w:r w:rsidR="00E6330E">
        <w:t>may also be</w:t>
      </w:r>
      <w:r w:rsidR="001D1C7B">
        <w:t xml:space="preserve"> relevant </w:t>
      </w:r>
      <w:r w:rsidR="00E6330E">
        <w:t>e.g.</w:t>
      </w:r>
      <w:r w:rsidR="001D1C7B">
        <w:t xml:space="preserve"> advisory boards. </w:t>
      </w:r>
    </w:p>
    <w:p w14:paraId="040237F9" w14:textId="75117845" w:rsidR="0087348E" w:rsidRDefault="00372D1C" w:rsidP="0069524C">
      <w:pPr>
        <w:pStyle w:val="ListParagraph"/>
        <w:numPr>
          <w:ilvl w:val="0"/>
          <w:numId w:val="2"/>
        </w:numPr>
      </w:pPr>
      <w:r>
        <w:t>Could cover tier 1 – 3</w:t>
      </w:r>
      <w:r w:rsidR="00E56B9C">
        <w:t xml:space="preserve"> leaders</w:t>
      </w:r>
      <w:r w:rsidR="006813C4">
        <w:t>, but</w:t>
      </w:r>
      <w:r w:rsidR="00E56B9C">
        <w:t xml:space="preserve"> t</w:t>
      </w:r>
      <w:r w:rsidR="00E76C5B">
        <w:t>ier</w:t>
      </w:r>
      <w:r w:rsidR="006813C4">
        <w:t xml:space="preserve"> 3 leaders have more expectation of privacy. Most tier 1 and 2 already have some </w:t>
      </w:r>
      <w:r w:rsidR="00E83A10">
        <w:t xml:space="preserve">level of </w:t>
      </w:r>
      <w:r w:rsidR="006813C4">
        <w:t xml:space="preserve">public profile (e.g. biography on agency website) but not tier 3. </w:t>
      </w:r>
    </w:p>
    <w:p w14:paraId="12681613" w14:textId="14F6434B" w:rsidR="006813C4" w:rsidRDefault="00E83A10" w:rsidP="0069524C">
      <w:pPr>
        <w:pStyle w:val="ListParagraph"/>
        <w:numPr>
          <w:ilvl w:val="0"/>
          <w:numId w:val="2"/>
        </w:numPr>
      </w:pPr>
      <w:r>
        <w:t xml:space="preserve">A lot of variation between agencies </w:t>
      </w:r>
      <w:r w:rsidR="00CA0AA8">
        <w:t xml:space="preserve">at tier 3 </w:t>
      </w:r>
      <w:r w:rsidR="00B97891">
        <w:t xml:space="preserve">level </w:t>
      </w:r>
      <w:r w:rsidR="00CA0AA8">
        <w:t>– for some agencies this is a team leader</w:t>
      </w:r>
      <w:r w:rsidR="00B97891">
        <w:t xml:space="preserve"> but </w:t>
      </w:r>
      <w:r w:rsidR="00227329">
        <w:t xml:space="preserve">for large agencies tier 3 can be </w:t>
      </w:r>
      <w:r w:rsidR="00B97891">
        <w:t xml:space="preserve">a much bigger </w:t>
      </w:r>
      <w:r w:rsidR="003D0EC9">
        <w:t>role</w:t>
      </w:r>
      <w:r w:rsidR="005E572E">
        <w:t xml:space="preserve">. </w:t>
      </w:r>
    </w:p>
    <w:p w14:paraId="3BA937B1" w14:textId="348EA821" w:rsidR="001D1C7B" w:rsidRDefault="00B97891" w:rsidP="0069524C">
      <w:pPr>
        <w:pStyle w:val="ListParagraph"/>
        <w:numPr>
          <w:ilvl w:val="0"/>
          <w:numId w:val="2"/>
        </w:numPr>
      </w:pPr>
      <w:r>
        <w:t>Could</w:t>
      </w:r>
      <w:r w:rsidR="0013612B">
        <w:t xml:space="preserve"> make inclusion of tier 3 depend on</w:t>
      </w:r>
      <w:r w:rsidR="00CD0D7C">
        <w:t xml:space="preserve"> certain criteria e.g. agency size, financial delegation</w:t>
      </w:r>
      <w:r w:rsidR="005F0C55">
        <w:t xml:space="preserve">, decision making roles, influence on Ministers. </w:t>
      </w:r>
      <w:r w:rsidR="0013612B">
        <w:t>Or provide flexibility for agencies to include tier 3</w:t>
      </w:r>
      <w:r w:rsidR="002044A4">
        <w:t xml:space="preserve"> leaders</w:t>
      </w:r>
      <w:r w:rsidR="0013612B">
        <w:t xml:space="preserve"> or other roles they think are necessary. </w:t>
      </w:r>
    </w:p>
    <w:p w14:paraId="3B87117C" w14:textId="58EE54A0" w:rsidR="00BA2DCB" w:rsidRPr="000640E1" w:rsidRDefault="0013612B" w:rsidP="00BA2DCB">
      <w:pPr>
        <w:pStyle w:val="ListParagraph"/>
        <w:numPr>
          <w:ilvl w:val="0"/>
          <w:numId w:val="2"/>
        </w:numPr>
        <w:spacing w:line="278" w:lineRule="auto"/>
      </w:pPr>
      <w:r>
        <w:t>Phrased approach - s</w:t>
      </w:r>
      <w:r w:rsidR="00BA2DCB" w:rsidRPr="000640E1">
        <w:t xml:space="preserve">tart with tier 1 and 2 in </w:t>
      </w:r>
      <w:r w:rsidR="003373D5">
        <w:t>agencies</w:t>
      </w:r>
      <w:r w:rsidR="00BA2DCB" w:rsidRPr="000640E1">
        <w:t xml:space="preserve"> and </w:t>
      </w:r>
      <w:r>
        <w:t>then expand to lower tiers and C</w:t>
      </w:r>
      <w:r w:rsidR="00BA2DCB" w:rsidRPr="000640E1">
        <w:t>rown entitie</w:t>
      </w:r>
      <w:r>
        <w:t xml:space="preserve">s. </w:t>
      </w:r>
    </w:p>
    <w:p w14:paraId="4CE6521A" w14:textId="1F40EFD0" w:rsidR="003A5ABC" w:rsidRPr="005618E4" w:rsidRDefault="001E6EB6" w:rsidP="005618E4">
      <w:pPr>
        <w:keepNext/>
        <w:keepLines/>
        <w:spacing w:before="160" w:after="80" w:line="278" w:lineRule="auto"/>
        <w:outlineLvl w:val="2"/>
        <w:rPr>
          <w:rFonts w:ascii="Aptos" w:eastAsia="Aptos" w:hAnsi="Aptos" w:cs="Aptos"/>
          <w:color w:val="0F4761" w:themeColor="accent1" w:themeShade="BF"/>
          <w:sz w:val="28"/>
          <w:szCs w:val="28"/>
          <w:lang w:val="en-GB"/>
        </w:rPr>
      </w:pPr>
      <w:r w:rsidRPr="005618E4">
        <w:rPr>
          <w:rFonts w:ascii="Aptos" w:eastAsia="Aptos" w:hAnsi="Aptos" w:cs="Aptos"/>
          <w:color w:val="0F4761" w:themeColor="accent1" w:themeShade="BF"/>
          <w:sz w:val="28"/>
          <w:szCs w:val="28"/>
          <w:lang w:val="en-GB"/>
        </w:rPr>
        <w:t>What types of interests should be covered</w:t>
      </w:r>
      <w:r w:rsidR="00CA2D74" w:rsidRPr="005618E4">
        <w:rPr>
          <w:rFonts w:ascii="Aptos" w:eastAsia="Aptos" w:hAnsi="Aptos" w:cs="Aptos"/>
          <w:color w:val="0F4761" w:themeColor="accent1" w:themeShade="BF"/>
          <w:sz w:val="28"/>
          <w:szCs w:val="28"/>
          <w:lang w:val="en-GB"/>
        </w:rPr>
        <w:t xml:space="preserve">? </w:t>
      </w:r>
    </w:p>
    <w:p w14:paraId="68E1E8E9" w14:textId="0177BB1A" w:rsidR="006030FC" w:rsidRDefault="006030FC" w:rsidP="001E6EB6">
      <w:pPr>
        <w:pStyle w:val="ListParagraph"/>
        <w:numPr>
          <w:ilvl w:val="0"/>
          <w:numId w:val="3"/>
        </w:numPr>
      </w:pPr>
      <w:r>
        <w:t>B</w:t>
      </w:r>
      <w:r w:rsidR="000C227C">
        <w:t>oth financial and non-financial interests.</w:t>
      </w:r>
      <w:r>
        <w:t xml:space="preserve"> Focus is often on financial </w:t>
      </w:r>
      <w:r w:rsidR="00E073A6">
        <w:t>interests,</w:t>
      </w:r>
      <w:r>
        <w:t xml:space="preserve"> but relationships pose risks too</w:t>
      </w:r>
      <w:r w:rsidR="00C12D70">
        <w:t>.</w:t>
      </w:r>
    </w:p>
    <w:p w14:paraId="5AD6F842" w14:textId="77777777" w:rsidR="00C12D70" w:rsidRDefault="00C12D70" w:rsidP="00C12D70">
      <w:pPr>
        <w:pStyle w:val="ListParagraph"/>
        <w:numPr>
          <w:ilvl w:val="0"/>
          <w:numId w:val="3"/>
        </w:numPr>
        <w:spacing w:line="278" w:lineRule="auto"/>
      </w:pPr>
      <w:r>
        <w:t>O</w:t>
      </w:r>
      <w:r w:rsidRPr="000640E1">
        <w:t>nly need to publish actual or perceived conflicts relevant to the role</w:t>
      </w:r>
      <w:r>
        <w:t xml:space="preserve">, not all interests declared. </w:t>
      </w:r>
    </w:p>
    <w:p w14:paraId="2A33E4C2" w14:textId="6A5E416A" w:rsidR="0085159F" w:rsidRDefault="008B5C58" w:rsidP="0085159F">
      <w:pPr>
        <w:pStyle w:val="ListParagraph"/>
        <w:numPr>
          <w:ilvl w:val="0"/>
          <w:numId w:val="3"/>
        </w:numPr>
      </w:pPr>
      <w:r>
        <w:t xml:space="preserve">Could prescribe a core list of family members covered </w:t>
      </w:r>
      <w:r w:rsidR="003778D8">
        <w:t>(</w:t>
      </w:r>
      <w:r w:rsidR="00EF6D19">
        <w:t>e.g. spouse</w:t>
      </w:r>
      <w:r w:rsidR="007A7211">
        <w:t xml:space="preserve"> and</w:t>
      </w:r>
      <w:r w:rsidR="00EF6D19">
        <w:t xml:space="preserve"> chi</w:t>
      </w:r>
      <w:r w:rsidR="007A7211">
        <w:t xml:space="preserve">ldren) but </w:t>
      </w:r>
      <w:r>
        <w:t xml:space="preserve">judgement is required beyond that. </w:t>
      </w:r>
      <w:r w:rsidR="0085159F">
        <w:t xml:space="preserve">Need to cover friends as well as family, a close friend can also present a conflict of interest. </w:t>
      </w:r>
    </w:p>
    <w:p w14:paraId="6287E3F6" w14:textId="7D6F9C54" w:rsidR="00023B0B" w:rsidRDefault="00023B0B" w:rsidP="0085159F">
      <w:pPr>
        <w:pStyle w:val="ListParagraph"/>
        <w:numPr>
          <w:ilvl w:val="0"/>
          <w:numId w:val="3"/>
        </w:numPr>
      </w:pPr>
      <w:r>
        <w:t xml:space="preserve">Need to consider views of Māori and Pacific communities. </w:t>
      </w:r>
    </w:p>
    <w:p w14:paraId="0E92C6A1" w14:textId="1A40A02D" w:rsidR="002427DA" w:rsidRDefault="00043E6A" w:rsidP="00043E6A">
      <w:pPr>
        <w:pStyle w:val="ListParagraph"/>
        <w:numPr>
          <w:ilvl w:val="0"/>
          <w:numId w:val="3"/>
        </w:numPr>
        <w:spacing w:line="278" w:lineRule="auto"/>
      </w:pPr>
      <w:r>
        <w:t xml:space="preserve">Perceptions about what interests matter or could cause you to be influenced is subjective and highly variable, e.g. </w:t>
      </w:r>
      <w:r w:rsidR="002427DA" w:rsidRPr="000640E1">
        <w:t>what</w:t>
      </w:r>
      <w:r>
        <w:t xml:space="preserve"> counts as</w:t>
      </w:r>
      <w:r w:rsidR="002427DA" w:rsidRPr="000640E1">
        <w:t xml:space="preserve"> a significant relationship, </w:t>
      </w:r>
      <w:r>
        <w:t>what is a significant amount of money etc.</w:t>
      </w:r>
    </w:p>
    <w:p w14:paraId="56A6EA81" w14:textId="1B5C43E7" w:rsidR="00F506C5" w:rsidRPr="000640E1" w:rsidRDefault="00F506C5" w:rsidP="00F506C5">
      <w:pPr>
        <w:pStyle w:val="ListParagraph"/>
        <w:numPr>
          <w:ilvl w:val="0"/>
          <w:numId w:val="3"/>
        </w:numPr>
        <w:spacing w:line="278" w:lineRule="auto"/>
      </w:pPr>
      <w:r w:rsidRPr="000640E1">
        <w:lastRenderedPageBreak/>
        <w:t>NZX rule: shareholding of 5% triggers that you may not be independent of that company</w:t>
      </w:r>
      <w:r>
        <w:t xml:space="preserve">. </w:t>
      </w:r>
      <w:r w:rsidR="00376082">
        <w:t>This was recently increased to 10% but m</w:t>
      </w:r>
      <w:r w:rsidR="00CA4BF2">
        <w:t xml:space="preserve">ost entities still use 5% in conversation </w:t>
      </w:r>
      <w:r w:rsidR="00A32A3D">
        <w:t xml:space="preserve">as a benchmark to trigger compliance checks. </w:t>
      </w:r>
    </w:p>
    <w:p w14:paraId="5C7F3246" w14:textId="77777777" w:rsidR="00F506C5" w:rsidRDefault="00F506C5" w:rsidP="00F506C5">
      <w:pPr>
        <w:pStyle w:val="ListParagraph"/>
        <w:numPr>
          <w:ilvl w:val="0"/>
          <w:numId w:val="3"/>
        </w:numPr>
      </w:pPr>
      <w:r>
        <w:t xml:space="preserve">There are different expectations for private and public sector. For regulators any shareholding at all is probably an issue. </w:t>
      </w:r>
    </w:p>
    <w:p w14:paraId="7EFBFCA8" w14:textId="3950B060" w:rsidR="004272F3" w:rsidRDefault="004272F3" w:rsidP="003778D8">
      <w:pPr>
        <w:pStyle w:val="ListParagraph"/>
        <w:numPr>
          <w:ilvl w:val="0"/>
          <w:numId w:val="3"/>
        </w:numPr>
      </w:pPr>
      <w:r>
        <w:t xml:space="preserve">Trusts and beneficiaries </w:t>
      </w:r>
      <w:r w:rsidR="00ED0AE3">
        <w:t>are issues</w:t>
      </w:r>
      <w:r>
        <w:t xml:space="preserve"> to be worked through. </w:t>
      </w:r>
    </w:p>
    <w:p w14:paraId="26A2E57F" w14:textId="6137D359" w:rsidR="00B24143" w:rsidRDefault="00B24143" w:rsidP="003778D8">
      <w:pPr>
        <w:pStyle w:val="ListParagraph"/>
        <w:numPr>
          <w:ilvl w:val="0"/>
          <w:numId w:val="3"/>
        </w:numPr>
      </w:pPr>
      <w:r>
        <w:t xml:space="preserve">Should </w:t>
      </w:r>
      <w:r w:rsidR="00A2290F">
        <w:t>affiliations</w:t>
      </w:r>
      <w:r>
        <w:t xml:space="preserve"> or membership of political parties</w:t>
      </w:r>
      <w:r w:rsidR="001500D9">
        <w:t xml:space="preserve"> </w:t>
      </w:r>
      <w:r w:rsidR="00CC611E">
        <w:t>be covered</w:t>
      </w:r>
      <w:r>
        <w:t xml:space="preserve">? </w:t>
      </w:r>
      <w:r w:rsidR="00A2290F">
        <w:t>What about things like charitable donations or donations to political parties</w:t>
      </w:r>
      <w:r w:rsidR="001500D9">
        <w:t>?</w:t>
      </w:r>
    </w:p>
    <w:p w14:paraId="2C0A3FF3" w14:textId="063F460F" w:rsidR="000C227C" w:rsidRPr="005618E4" w:rsidRDefault="000C227C" w:rsidP="005618E4">
      <w:pPr>
        <w:keepNext/>
        <w:keepLines/>
        <w:spacing w:before="160" w:after="80" w:line="278" w:lineRule="auto"/>
        <w:outlineLvl w:val="2"/>
        <w:rPr>
          <w:rFonts w:ascii="Aptos" w:eastAsia="Aptos" w:hAnsi="Aptos" w:cs="Aptos"/>
          <w:color w:val="0F4761" w:themeColor="accent1" w:themeShade="BF"/>
          <w:sz w:val="28"/>
          <w:szCs w:val="28"/>
          <w:lang w:val="en-GB"/>
        </w:rPr>
      </w:pPr>
      <w:r w:rsidRPr="005618E4">
        <w:rPr>
          <w:rFonts w:ascii="Aptos" w:eastAsia="Aptos" w:hAnsi="Aptos" w:cs="Aptos"/>
          <w:color w:val="0F4761" w:themeColor="accent1" w:themeShade="BF"/>
          <w:sz w:val="28"/>
          <w:szCs w:val="28"/>
          <w:lang w:val="en-GB"/>
        </w:rPr>
        <w:t xml:space="preserve">What level of information should be published? </w:t>
      </w:r>
    </w:p>
    <w:p w14:paraId="49D7C328" w14:textId="77777777" w:rsidR="00E31288" w:rsidRDefault="003433DB" w:rsidP="00D27631">
      <w:pPr>
        <w:pStyle w:val="ListParagraph"/>
        <w:numPr>
          <w:ilvl w:val="0"/>
          <w:numId w:val="3"/>
        </w:numPr>
        <w:spacing w:line="278" w:lineRule="auto"/>
      </w:pPr>
      <w:r>
        <w:t>Be c</w:t>
      </w:r>
      <w:r w:rsidR="00CE4606" w:rsidRPr="000640E1">
        <w:t xml:space="preserve">omprehensive </w:t>
      </w:r>
      <w:r>
        <w:t xml:space="preserve">in </w:t>
      </w:r>
      <w:r w:rsidR="00CE4606" w:rsidRPr="000640E1">
        <w:t>disclosure</w:t>
      </w:r>
      <w:r w:rsidR="00922864">
        <w:t xml:space="preserve"> of interests</w:t>
      </w:r>
      <w:r w:rsidR="00CE4606" w:rsidRPr="000640E1">
        <w:t xml:space="preserve"> but </w:t>
      </w:r>
      <w:r>
        <w:t>have a</w:t>
      </w:r>
      <w:r w:rsidR="00CE4606" w:rsidRPr="000640E1">
        <w:t xml:space="preserve"> higher threshold for what </w:t>
      </w:r>
      <w:r w:rsidR="00922864">
        <w:t>g</w:t>
      </w:r>
      <w:r w:rsidR="00CE4606" w:rsidRPr="000640E1">
        <w:t>ets published.</w:t>
      </w:r>
      <w:r w:rsidR="00D27631">
        <w:t xml:space="preserve"> </w:t>
      </w:r>
    </w:p>
    <w:p w14:paraId="03275770" w14:textId="235D3570" w:rsidR="00D27631" w:rsidRDefault="00D27631" w:rsidP="00D27631">
      <w:pPr>
        <w:pStyle w:val="ListParagraph"/>
        <w:numPr>
          <w:ilvl w:val="0"/>
          <w:numId w:val="3"/>
        </w:numPr>
        <w:spacing w:line="278" w:lineRule="auto"/>
      </w:pPr>
      <w:r>
        <w:t xml:space="preserve">Publication could cover nature or type of interest at a high-level and the relevant organisation or type of organisation. </w:t>
      </w:r>
    </w:p>
    <w:p w14:paraId="1E705E7D" w14:textId="1DB35C37" w:rsidR="00E95435" w:rsidRDefault="00E95435" w:rsidP="00CE4606">
      <w:pPr>
        <w:pStyle w:val="ListParagraph"/>
        <w:numPr>
          <w:ilvl w:val="0"/>
          <w:numId w:val="3"/>
        </w:numPr>
        <w:spacing w:line="278" w:lineRule="auto"/>
      </w:pPr>
      <w:r>
        <w:t xml:space="preserve">Privacy and safety concerns </w:t>
      </w:r>
      <w:r w:rsidR="0082268A">
        <w:t>are important</w:t>
      </w:r>
      <w:r>
        <w:t xml:space="preserve">, particularly for any information related to children. </w:t>
      </w:r>
    </w:p>
    <w:p w14:paraId="57A4ABCC" w14:textId="592B5305" w:rsidR="0004218F" w:rsidRDefault="009F0E99" w:rsidP="009F0E99">
      <w:pPr>
        <w:pStyle w:val="ListParagraph"/>
        <w:numPr>
          <w:ilvl w:val="0"/>
          <w:numId w:val="3"/>
        </w:numPr>
      </w:pPr>
      <w:r>
        <w:t>Example</w:t>
      </w:r>
      <w:r w:rsidR="00904AB3">
        <w:t xml:space="preserve"> discussed</w:t>
      </w:r>
      <w:r>
        <w:t xml:space="preserve"> of a</w:t>
      </w:r>
      <w:r w:rsidR="008E1615">
        <w:t>n</w:t>
      </w:r>
      <w:r>
        <w:t xml:space="preserve"> interest register where interests</w:t>
      </w:r>
      <w:r w:rsidR="00904AB3">
        <w:t xml:space="preserve"> of Directors</w:t>
      </w:r>
      <w:r>
        <w:t xml:space="preserve"> were removed for safety and other reasons. </w:t>
      </w:r>
      <w:r w:rsidR="00BB50D1">
        <w:t>Who</w:t>
      </w:r>
      <w:r>
        <w:t xml:space="preserve"> determines what information </w:t>
      </w:r>
      <w:r w:rsidR="0082268A">
        <w:t xml:space="preserve">is removed </w:t>
      </w:r>
      <w:r>
        <w:t>from a safety perspective</w:t>
      </w:r>
      <w:r w:rsidR="00414C33">
        <w:t>,</w:t>
      </w:r>
      <w:r>
        <w:t xml:space="preserve"> could this be misused to limit what is published? </w:t>
      </w:r>
    </w:p>
    <w:p w14:paraId="673007E7" w14:textId="79003328" w:rsidR="00F571B0" w:rsidRPr="005618E4" w:rsidRDefault="00F6139B" w:rsidP="005618E4">
      <w:pPr>
        <w:keepNext/>
        <w:keepLines/>
        <w:spacing w:before="160" w:after="80" w:line="278" w:lineRule="auto"/>
        <w:outlineLvl w:val="2"/>
        <w:rPr>
          <w:rFonts w:ascii="Aptos" w:eastAsia="Aptos" w:hAnsi="Aptos" w:cs="Aptos"/>
          <w:color w:val="0F4761" w:themeColor="accent1" w:themeShade="BF"/>
          <w:sz w:val="28"/>
          <w:szCs w:val="28"/>
          <w:lang w:val="en-GB"/>
        </w:rPr>
      </w:pPr>
      <w:r w:rsidRPr="005618E4">
        <w:rPr>
          <w:rFonts w:ascii="Aptos" w:eastAsia="Aptos" w:hAnsi="Aptos" w:cs="Aptos"/>
          <w:color w:val="0F4761" w:themeColor="accent1" w:themeShade="BF"/>
          <w:sz w:val="28"/>
          <w:szCs w:val="28"/>
          <w:lang w:val="en-GB"/>
        </w:rPr>
        <w:t xml:space="preserve">Where and how should </w:t>
      </w:r>
      <w:r w:rsidR="00B81AC5" w:rsidRPr="005618E4">
        <w:rPr>
          <w:rFonts w:ascii="Aptos" w:eastAsia="Aptos" w:hAnsi="Aptos" w:cs="Aptos"/>
          <w:color w:val="0F4761" w:themeColor="accent1" w:themeShade="BF"/>
          <w:sz w:val="28"/>
          <w:szCs w:val="28"/>
          <w:lang w:val="en-GB"/>
        </w:rPr>
        <w:t>information be</w:t>
      </w:r>
      <w:r w:rsidRPr="005618E4">
        <w:rPr>
          <w:rFonts w:ascii="Aptos" w:eastAsia="Aptos" w:hAnsi="Aptos" w:cs="Aptos"/>
          <w:color w:val="0F4761" w:themeColor="accent1" w:themeShade="BF"/>
          <w:sz w:val="28"/>
          <w:szCs w:val="28"/>
          <w:lang w:val="en-GB"/>
        </w:rPr>
        <w:t xml:space="preserve"> published </w:t>
      </w:r>
    </w:p>
    <w:p w14:paraId="385909F4" w14:textId="68A72433" w:rsidR="008E0406" w:rsidRPr="000640E1" w:rsidRDefault="008E0406" w:rsidP="008E0406">
      <w:pPr>
        <w:pStyle w:val="ListParagraph"/>
        <w:numPr>
          <w:ilvl w:val="0"/>
          <w:numId w:val="8"/>
        </w:numPr>
        <w:spacing w:line="278" w:lineRule="auto"/>
      </w:pPr>
      <w:r w:rsidRPr="000640E1">
        <w:t xml:space="preserve">Best case would be PSC, but given fiscal context </w:t>
      </w:r>
      <w:r w:rsidR="009B1AF5">
        <w:t xml:space="preserve">it may not be practical. </w:t>
      </w:r>
    </w:p>
    <w:p w14:paraId="4ADFA5F7" w14:textId="65B08EAC" w:rsidR="008E0406" w:rsidRPr="000640E1" w:rsidRDefault="008E0406" w:rsidP="008E0406">
      <w:pPr>
        <w:pStyle w:val="ListParagraph"/>
        <w:numPr>
          <w:ilvl w:val="0"/>
          <w:numId w:val="8"/>
        </w:numPr>
        <w:spacing w:line="278" w:lineRule="auto"/>
      </w:pPr>
      <w:r w:rsidRPr="000640E1">
        <w:t>Pragmatic</w:t>
      </w:r>
      <w:r w:rsidR="000F6284">
        <w:t xml:space="preserve"> approach</w:t>
      </w:r>
      <w:r w:rsidRPr="000640E1">
        <w:t xml:space="preserve"> would be each agency publishing their own based on </w:t>
      </w:r>
      <w:r w:rsidR="009B1AF5">
        <w:t>shared guidance</w:t>
      </w:r>
      <w:r w:rsidR="00996223">
        <w:t xml:space="preserve"> or a common data standard. </w:t>
      </w:r>
    </w:p>
    <w:p w14:paraId="15348726" w14:textId="0060F1D9" w:rsidR="00996223" w:rsidRPr="000640E1" w:rsidRDefault="002B71E7" w:rsidP="00996223">
      <w:pPr>
        <w:pStyle w:val="ListParagraph"/>
        <w:numPr>
          <w:ilvl w:val="0"/>
          <w:numId w:val="8"/>
        </w:numPr>
        <w:spacing w:line="278" w:lineRule="auto"/>
      </w:pPr>
      <w:r>
        <w:t>Introduction of a d</w:t>
      </w:r>
      <w:r w:rsidRPr="000640E1">
        <w:t>irector</w:t>
      </w:r>
      <w:r w:rsidR="009607A1" w:rsidRPr="000640E1">
        <w:t xml:space="preserve"> identification number would be helpful for monitoring interests across multiple agencies where individuals hold multiple roles</w:t>
      </w:r>
      <w:r w:rsidR="009B1AF5">
        <w:t xml:space="preserve">. </w:t>
      </w:r>
    </w:p>
    <w:p w14:paraId="53C8AEA8" w14:textId="331D36DC" w:rsidR="009607A1" w:rsidRPr="000640E1" w:rsidRDefault="009607A1" w:rsidP="009607A1">
      <w:pPr>
        <w:pStyle w:val="ListParagraph"/>
        <w:numPr>
          <w:ilvl w:val="0"/>
          <w:numId w:val="8"/>
        </w:numPr>
        <w:spacing w:line="278" w:lineRule="auto"/>
      </w:pPr>
      <w:r w:rsidRPr="000640E1">
        <w:t>Keep the information as close to the conflict as possible</w:t>
      </w:r>
      <w:r w:rsidR="000F6284">
        <w:t xml:space="preserve">. This would </w:t>
      </w:r>
      <w:r w:rsidRPr="000640E1">
        <w:t>support</w:t>
      </w:r>
      <w:r w:rsidR="000F6284">
        <w:t xml:space="preserve"> publication on</w:t>
      </w:r>
      <w:r w:rsidRPr="000640E1">
        <w:t xml:space="preserve"> individual agency websites</w:t>
      </w:r>
    </w:p>
    <w:p w14:paraId="0F4D4C1D" w14:textId="007D5DA8" w:rsidR="00AD1EF3" w:rsidRDefault="00AD1EF3" w:rsidP="001500D9">
      <w:pPr>
        <w:ind w:left="360"/>
      </w:pPr>
    </w:p>
    <w:p w14:paraId="647EABC1" w14:textId="77777777" w:rsidR="00AD1EF3" w:rsidRDefault="00AD1EF3">
      <w:r>
        <w:br w:type="page"/>
      </w:r>
    </w:p>
    <w:p w14:paraId="74E496E2" w14:textId="418EC495" w:rsidR="00F6139B" w:rsidRDefault="00AD1EF3" w:rsidP="0069594F">
      <w:pPr>
        <w:pStyle w:val="Heading1"/>
      </w:pPr>
      <w:r>
        <w:lastRenderedPageBreak/>
        <w:t xml:space="preserve">Appendix </w:t>
      </w:r>
      <w:r w:rsidR="00EA681F">
        <w:t>–</w:t>
      </w:r>
      <w:r w:rsidR="0069594F">
        <w:t xml:space="preserve"> </w:t>
      </w:r>
      <w:r w:rsidR="00EA681F">
        <w:t>Information sent t</w:t>
      </w:r>
      <w:r w:rsidR="00F86AFD">
        <w:t xml:space="preserve">o group in advance of discussion </w:t>
      </w:r>
    </w:p>
    <w:p w14:paraId="7411A085" w14:textId="77777777" w:rsidR="001B6F08" w:rsidRPr="001B6F08" w:rsidRDefault="001B6F08" w:rsidP="001B6F08">
      <w:pPr>
        <w:keepNext/>
        <w:keepLines/>
        <w:spacing w:before="299" w:after="299" w:line="278" w:lineRule="auto"/>
        <w:outlineLvl w:val="1"/>
        <w:rPr>
          <w:rFonts w:ascii="Aptos" w:eastAsia="Aptos" w:hAnsi="Aptos" w:cs="Aptos"/>
          <w:b/>
          <w:color w:val="0F4761" w:themeColor="accent1" w:themeShade="BF"/>
          <w:sz w:val="32"/>
          <w:szCs w:val="32"/>
          <w:lang w:val="en-GB"/>
        </w:rPr>
      </w:pPr>
      <w:r w:rsidRPr="001B6F08">
        <w:rPr>
          <w:rFonts w:ascii="Aptos" w:eastAsia="Aptos" w:hAnsi="Aptos" w:cs="Aptos"/>
          <w:b/>
          <w:bCs/>
          <w:color w:val="0F4761" w:themeColor="accent1" w:themeShade="BF"/>
          <w:sz w:val="32"/>
          <w:szCs w:val="32"/>
          <w:lang w:val="en-GB"/>
        </w:rPr>
        <w:t>OGP Commitment 4 - Senior leaders’ conflicts of interest: information for reference group meeting 2 -3.30pm, 13 May 2026.</w:t>
      </w:r>
    </w:p>
    <w:p w14:paraId="6347F112" w14:textId="77777777" w:rsidR="001B6F08" w:rsidRPr="001B6F08" w:rsidRDefault="001B6F08" w:rsidP="001B6F08">
      <w:pPr>
        <w:keepNext/>
        <w:keepLines/>
        <w:spacing w:before="160" w:after="80" w:line="278" w:lineRule="auto"/>
        <w:outlineLvl w:val="2"/>
        <w:rPr>
          <w:rFonts w:eastAsiaTheme="majorEastAsia" w:cstheme="majorBidi"/>
          <w:color w:val="0F4761" w:themeColor="accent1" w:themeShade="BF"/>
          <w:sz w:val="28"/>
          <w:szCs w:val="28"/>
          <w:lang w:val="en-GB"/>
        </w:rPr>
      </w:pPr>
      <w:r w:rsidRPr="001B6F08">
        <w:rPr>
          <w:rFonts w:ascii="Aptos" w:eastAsia="Aptos" w:hAnsi="Aptos" w:cs="Aptos"/>
          <w:color w:val="0F4761" w:themeColor="accent1" w:themeShade="BF"/>
          <w:sz w:val="28"/>
          <w:szCs w:val="28"/>
          <w:lang w:val="en-GB"/>
        </w:rPr>
        <w:t>Project background</w:t>
      </w:r>
    </w:p>
    <w:p w14:paraId="59F828F6" w14:textId="77777777" w:rsidR="001B6F08" w:rsidRPr="005618E4" w:rsidRDefault="001B6F08" w:rsidP="001B6F08">
      <w:pPr>
        <w:spacing w:after="0" w:line="278" w:lineRule="auto"/>
        <w:rPr>
          <w:rFonts w:ascii="Aptos" w:eastAsia="Aptos" w:hAnsi="Aptos" w:cs="Aptos"/>
          <w:lang w:val="en-GB"/>
        </w:rPr>
      </w:pPr>
      <w:r w:rsidRPr="005618E4">
        <w:rPr>
          <w:rFonts w:ascii="Aptos" w:eastAsia="Aptos" w:hAnsi="Aptos" w:cs="Aptos"/>
          <w:lang w:val="en-GB"/>
        </w:rPr>
        <w:t xml:space="preserve">The Public Service Commission (the Commission) has agreed to explore options to increase transparency of senior leaders’ conflicts of interest. Declaring and managing conflicts of interest is important for ensuring objective decision-making, maintaining public trust and meeting legal and governance requirements.  </w:t>
      </w:r>
      <w:r w:rsidRPr="005618E4">
        <w:rPr>
          <w:rFonts w:ascii="Aptos" w:eastAsia="Aptos" w:hAnsi="Aptos" w:cs="Aptos"/>
          <w:lang w:val="en-GB"/>
        </w:rPr>
        <w:tab/>
      </w:r>
    </w:p>
    <w:p w14:paraId="20485503" w14:textId="77777777" w:rsidR="001B6F08" w:rsidRPr="005618E4" w:rsidRDefault="001B6F08" w:rsidP="001B6F08">
      <w:pPr>
        <w:spacing w:after="0" w:line="278" w:lineRule="auto"/>
        <w:rPr>
          <w:rFonts w:ascii="Aptos" w:eastAsia="Aptos" w:hAnsi="Aptos" w:cs="Aptos"/>
          <w:lang w:val="en-GB"/>
        </w:rPr>
      </w:pPr>
    </w:p>
    <w:p w14:paraId="11F2204C" w14:textId="77777777" w:rsidR="001B6F08" w:rsidRPr="005618E4" w:rsidRDefault="001B6F08" w:rsidP="001B6F08">
      <w:pPr>
        <w:spacing w:after="0" w:line="278" w:lineRule="auto"/>
        <w:rPr>
          <w:sz w:val="28"/>
          <w:szCs w:val="28"/>
          <w:lang w:val="en-GB"/>
        </w:rPr>
      </w:pPr>
      <w:r w:rsidRPr="005618E4">
        <w:rPr>
          <w:rFonts w:ascii="Aptos" w:eastAsia="Aptos" w:hAnsi="Aptos" w:cs="Aptos"/>
          <w:lang w:val="en-GB"/>
        </w:rPr>
        <w:t xml:space="preserve">This work has been included as a commitment under New Zealand’s fifth </w:t>
      </w:r>
      <w:hyperlink r:id="rId8">
        <w:r w:rsidRPr="005618E4">
          <w:rPr>
            <w:rFonts w:ascii="Aptos" w:eastAsia="Aptos" w:hAnsi="Aptos" w:cs="Aptos"/>
            <w:color w:val="467886"/>
            <w:u w:val="single"/>
            <w:lang w:val="en-GB"/>
          </w:rPr>
          <w:t>Open Government Partnership (OGP) National Action Plan (2025-2027)</w:t>
        </w:r>
      </w:hyperlink>
      <w:r w:rsidRPr="005618E4">
        <w:rPr>
          <w:rFonts w:ascii="Aptos" w:eastAsia="Aptos" w:hAnsi="Aptos" w:cs="Aptos"/>
          <w:lang w:val="en-GB"/>
        </w:rPr>
        <w:t>. In addition to being an OGP commitment, the Public Service Commissioner has also expressed his support for developing a more consistent and transparent, system</w:t>
      </w:r>
      <w:r w:rsidRPr="005618E4">
        <w:rPr>
          <w:sz w:val="28"/>
          <w:szCs w:val="28"/>
          <w:lang w:val="en-GB"/>
        </w:rPr>
        <w:noBreakHyphen/>
      </w:r>
      <w:r w:rsidRPr="005618E4">
        <w:rPr>
          <w:rFonts w:ascii="Aptos" w:eastAsia="Aptos" w:hAnsi="Aptos" w:cs="Aptos"/>
          <w:lang w:val="en-GB"/>
        </w:rPr>
        <w:t xml:space="preserve">wide approach to senior leaders’ conflicts of interest, in the context of recent investigations into poorly managed conflicts of interest. </w:t>
      </w:r>
    </w:p>
    <w:p w14:paraId="10CDACAC" w14:textId="77777777" w:rsidR="001B6F08" w:rsidRPr="005618E4" w:rsidRDefault="001B6F08" w:rsidP="001B6F08">
      <w:pPr>
        <w:spacing w:after="0" w:line="278" w:lineRule="auto"/>
        <w:rPr>
          <w:rFonts w:ascii="Aptos" w:eastAsia="Aptos" w:hAnsi="Aptos" w:cs="Aptos"/>
          <w:lang w:val="en-GB"/>
        </w:rPr>
      </w:pPr>
      <w:r w:rsidRPr="005618E4">
        <w:rPr>
          <w:rFonts w:ascii="Aptos" w:eastAsia="Aptos" w:hAnsi="Aptos" w:cs="Aptos"/>
          <w:lang w:val="en-GB"/>
        </w:rPr>
        <w:t xml:space="preserve"> </w:t>
      </w:r>
    </w:p>
    <w:p w14:paraId="3D660AA4" w14:textId="77777777" w:rsidR="001B6F08" w:rsidRPr="005618E4" w:rsidRDefault="001B6F08" w:rsidP="001B6F08">
      <w:pPr>
        <w:spacing w:after="0" w:line="278" w:lineRule="auto"/>
        <w:rPr>
          <w:sz w:val="28"/>
          <w:szCs w:val="28"/>
          <w:lang w:val="en-GB"/>
        </w:rPr>
      </w:pPr>
      <w:r w:rsidRPr="005618E4">
        <w:rPr>
          <w:rFonts w:ascii="Aptos" w:eastAsia="Aptos" w:hAnsi="Aptos" w:cs="Aptos"/>
          <w:lang w:val="en-GB"/>
        </w:rPr>
        <w:t>Our commitment in the OGP National Action Plan is not prescriptive about solutions, but it is likely this project will focus on whether and how information about senior leaders’ conflicts of interest could be made more visible to the public, while balancing privacy and employment obligations.</w:t>
      </w:r>
    </w:p>
    <w:p w14:paraId="0EB30C59" w14:textId="77777777" w:rsidR="001B6F08" w:rsidRPr="001B6F08" w:rsidRDefault="001B6F08" w:rsidP="001B6F08">
      <w:pPr>
        <w:keepNext/>
        <w:keepLines/>
        <w:spacing w:before="160" w:after="80" w:line="278" w:lineRule="auto"/>
        <w:outlineLvl w:val="2"/>
        <w:rPr>
          <w:rFonts w:ascii="Aptos" w:eastAsia="Aptos" w:hAnsi="Aptos" w:cs="Aptos"/>
          <w:color w:val="0F4761" w:themeColor="accent1" w:themeShade="BF"/>
          <w:sz w:val="28"/>
          <w:szCs w:val="28"/>
          <w:lang w:val="en-GB"/>
        </w:rPr>
      </w:pPr>
      <w:r w:rsidRPr="001B6F08">
        <w:rPr>
          <w:rFonts w:ascii="Aptos" w:eastAsia="Aptos" w:hAnsi="Aptos" w:cs="Aptos"/>
          <w:color w:val="0F4761" w:themeColor="accent1" w:themeShade="BF"/>
          <w:sz w:val="28"/>
          <w:szCs w:val="28"/>
          <w:lang w:val="en-GB"/>
        </w:rPr>
        <w:t xml:space="preserve">Purpose of group  </w:t>
      </w:r>
    </w:p>
    <w:p w14:paraId="05ED72D9" w14:textId="77777777" w:rsidR="001B6F08" w:rsidRPr="005618E4" w:rsidRDefault="001B6F08" w:rsidP="001B6F08">
      <w:pPr>
        <w:spacing w:after="0" w:line="278" w:lineRule="auto"/>
        <w:rPr>
          <w:rFonts w:ascii="Aptos" w:eastAsia="Aptos" w:hAnsi="Aptos" w:cs="Aptos"/>
          <w:lang w:val="en-GB"/>
        </w:rPr>
      </w:pPr>
      <w:r w:rsidRPr="005618E4">
        <w:rPr>
          <w:rFonts w:ascii="Aptos" w:eastAsia="Aptos" w:hAnsi="Aptos" w:cs="Aptos"/>
          <w:lang w:val="en-GB"/>
        </w:rPr>
        <w:t>We are seeking your input on this work as members of our advisory reference group. The group is intended to:</w:t>
      </w:r>
    </w:p>
    <w:p w14:paraId="015BB15F" w14:textId="77777777" w:rsidR="001B6F08" w:rsidRPr="005618E4" w:rsidRDefault="001B6F08" w:rsidP="001B6F08">
      <w:pPr>
        <w:numPr>
          <w:ilvl w:val="0"/>
          <w:numId w:val="15"/>
        </w:numPr>
        <w:spacing w:after="0" w:line="278" w:lineRule="auto"/>
        <w:contextualSpacing/>
        <w:rPr>
          <w:rFonts w:ascii="Aptos" w:eastAsia="Aptos" w:hAnsi="Aptos" w:cs="Aptos"/>
          <w:lang w:val="en-GB"/>
        </w:rPr>
      </w:pPr>
      <w:r w:rsidRPr="005618E4">
        <w:rPr>
          <w:rFonts w:ascii="Aptos" w:eastAsia="Aptos" w:hAnsi="Aptos" w:cs="Aptos"/>
          <w:lang w:val="en-GB"/>
        </w:rPr>
        <w:t xml:space="preserve">Provide insights on trends and best practice from inside and outside the public sector. </w:t>
      </w:r>
    </w:p>
    <w:p w14:paraId="35B04861" w14:textId="77777777" w:rsidR="001B6F08" w:rsidRPr="005618E4" w:rsidRDefault="001B6F08" w:rsidP="001B6F08">
      <w:pPr>
        <w:numPr>
          <w:ilvl w:val="0"/>
          <w:numId w:val="15"/>
        </w:numPr>
        <w:spacing w:after="0" w:line="278" w:lineRule="auto"/>
        <w:contextualSpacing/>
        <w:rPr>
          <w:rFonts w:ascii="Aptos" w:eastAsia="Aptos" w:hAnsi="Aptos" w:cs="Aptos"/>
          <w:lang w:val="en-GB"/>
        </w:rPr>
      </w:pPr>
      <w:r w:rsidRPr="005618E4">
        <w:rPr>
          <w:rFonts w:ascii="Aptos" w:eastAsia="Aptos" w:hAnsi="Aptos" w:cs="Aptos"/>
          <w:lang w:val="en-GB"/>
        </w:rPr>
        <w:t>Act as a “critical friend” to test assumptions and provide input into material for discussion with affected senior leaders.</w:t>
      </w:r>
    </w:p>
    <w:p w14:paraId="46D573ED" w14:textId="77777777" w:rsidR="001B6F08" w:rsidRPr="005618E4" w:rsidRDefault="001B6F08" w:rsidP="001B6F08">
      <w:pPr>
        <w:numPr>
          <w:ilvl w:val="0"/>
          <w:numId w:val="15"/>
        </w:numPr>
        <w:spacing w:after="0" w:line="278" w:lineRule="auto"/>
        <w:contextualSpacing/>
        <w:rPr>
          <w:rFonts w:ascii="Aptos" w:eastAsia="Aptos" w:hAnsi="Aptos" w:cs="Aptos"/>
          <w:lang w:val="en-GB"/>
        </w:rPr>
      </w:pPr>
      <w:r w:rsidRPr="005618E4">
        <w:rPr>
          <w:rFonts w:ascii="Aptos" w:eastAsia="Aptos" w:hAnsi="Aptos" w:cs="Aptos"/>
          <w:lang w:val="en-GB"/>
        </w:rPr>
        <w:t xml:space="preserve">Support stakeholder connections by suggesting where we may need to engage more widely and who with. </w:t>
      </w:r>
    </w:p>
    <w:p w14:paraId="05CD235E" w14:textId="77777777" w:rsidR="001B6F08" w:rsidRPr="005618E4" w:rsidRDefault="001B6F08" w:rsidP="001B6F08">
      <w:pPr>
        <w:rPr>
          <w:rFonts w:ascii="Aptos" w:eastAsia="Aptos" w:hAnsi="Aptos" w:cs="Aptos"/>
          <w:lang w:val="en-US"/>
        </w:rPr>
      </w:pPr>
      <w:r w:rsidRPr="005618E4">
        <w:rPr>
          <w:rFonts w:ascii="Aptos" w:eastAsia="Aptos" w:hAnsi="Aptos" w:cs="Aptos"/>
          <w:lang w:val="en-US"/>
        </w:rPr>
        <w:t xml:space="preserve">The Commission remains responsible for the day-to-day work required to carry out this commitment (for example, undertaking research and providing advice to Ministers).  </w:t>
      </w:r>
    </w:p>
    <w:p w14:paraId="29D27F94" w14:textId="77777777" w:rsidR="001B6F08" w:rsidRPr="005618E4" w:rsidRDefault="001B6F08" w:rsidP="001B6F08">
      <w:pPr>
        <w:rPr>
          <w:rFonts w:ascii="Aptos" w:eastAsia="Aptos" w:hAnsi="Aptos" w:cs="Aptos"/>
          <w:lang w:val="en-GB"/>
        </w:rPr>
      </w:pPr>
      <w:r w:rsidRPr="005618E4">
        <w:rPr>
          <w:rFonts w:ascii="Aptos" w:eastAsia="Aptos" w:hAnsi="Aptos" w:cs="Aptos"/>
          <w:lang w:val="en-GB"/>
        </w:rPr>
        <w:lastRenderedPageBreak/>
        <w:t xml:space="preserve">The reference group has no tagged funding and involvement is not remunerated. We appreciate that this limits the extent to which non-government members can contribute their time. </w:t>
      </w:r>
    </w:p>
    <w:p w14:paraId="0B750D9C" w14:textId="77777777" w:rsidR="001B6F08" w:rsidRPr="005618E4" w:rsidRDefault="001B6F08" w:rsidP="001B6F08">
      <w:pPr>
        <w:rPr>
          <w:rFonts w:ascii="Aptos" w:eastAsia="Aptos" w:hAnsi="Aptos" w:cs="Aptos"/>
          <w:lang w:val="en-GB"/>
        </w:rPr>
      </w:pPr>
      <w:r w:rsidRPr="005618E4">
        <w:rPr>
          <w:rFonts w:ascii="Aptos" w:eastAsia="Aptos" w:hAnsi="Aptos" w:cs="Aptos"/>
          <w:lang w:val="en-GB"/>
        </w:rPr>
        <w:t>We anticipate the time commitment to be small (a maximum of two to four hours of work per month, including pre</w:t>
      </w:r>
      <w:r w:rsidRPr="005618E4">
        <w:rPr>
          <w:rFonts w:ascii="Aptos" w:eastAsia="Aptos" w:hAnsi="Aptos" w:cs="Aptos"/>
          <w:lang w:val="en-GB"/>
        </w:rPr>
        <w:noBreakHyphen/>
        <w:t xml:space="preserve">reading in addition to attendance at meetings), and for the majority of work to occur over May – July 2026. </w:t>
      </w:r>
    </w:p>
    <w:p w14:paraId="2497E008" w14:textId="77777777" w:rsidR="001B6F08" w:rsidRPr="001B6F08" w:rsidRDefault="001B6F08" w:rsidP="001B6F08">
      <w:pPr>
        <w:keepNext/>
        <w:keepLines/>
        <w:spacing w:before="160" w:after="80" w:line="278" w:lineRule="auto"/>
        <w:outlineLvl w:val="2"/>
        <w:rPr>
          <w:rFonts w:eastAsiaTheme="majorEastAsia" w:cstheme="majorBidi"/>
          <w:color w:val="0F4761" w:themeColor="accent1" w:themeShade="BF"/>
          <w:sz w:val="28"/>
          <w:szCs w:val="28"/>
          <w:lang w:val="en-GB"/>
        </w:rPr>
      </w:pPr>
      <w:r w:rsidRPr="001B6F08">
        <w:rPr>
          <w:rFonts w:ascii="Aptos" w:eastAsia="Aptos" w:hAnsi="Aptos" w:cs="Aptos"/>
          <w:color w:val="0F4761" w:themeColor="accent1" w:themeShade="BF"/>
          <w:sz w:val="28"/>
          <w:szCs w:val="28"/>
          <w:lang w:val="en-GB"/>
        </w:rPr>
        <w:t>Current status quo</w:t>
      </w:r>
    </w:p>
    <w:p w14:paraId="717A5BE2" w14:textId="77777777" w:rsidR="001B6F08" w:rsidRPr="005618E4" w:rsidRDefault="001B6F08" w:rsidP="001B6F08">
      <w:pPr>
        <w:spacing w:line="278" w:lineRule="auto"/>
        <w:rPr>
          <w:sz w:val="28"/>
          <w:szCs w:val="28"/>
          <w:lang w:val="en-GB"/>
        </w:rPr>
      </w:pPr>
      <w:r w:rsidRPr="005618E4">
        <w:rPr>
          <w:rFonts w:ascii="Aptos" w:eastAsia="Aptos" w:hAnsi="Aptos" w:cs="Aptos"/>
          <w:lang w:val="en-GB"/>
        </w:rPr>
        <w:t xml:space="preserve">The current requirements for senior leaders in declaring and managing conflicts of interest are: </w:t>
      </w:r>
    </w:p>
    <w:p w14:paraId="7E23EA27" w14:textId="77777777" w:rsidR="001B6F08" w:rsidRPr="005618E4" w:rsidRDefault="001B6F08" w:rsidP="001B6F08">
      <w:pPr>
        <w:numPr>
          <w:ilvl w:val="0"/>
          <w:numId w:val="11"/>
        </w:numPr>
        <w:spacing w:after="0" w:line="278" w:lineRule="auto"/>
        <w:contextualSpacing/>
        <w:rPr>
          <w:rFonts w:ascii="Aptos" w:eastAsia="Aptos" w:hAnsi="Aptos" w:cs="Aptos"/>
          <w:lang w:val="en-GB"/>
        </w:rPr>
      </w:pPr>
      <w:r w:rsidRPr="005618E4">
        <w:rPr>
          <w:rFonts w:ascii="Aptos" w:eastAsia="Aptos" w:hAnsi="Aptos" w:cs="Aptos"/>
          <w:b/>
          <w:bCs/>
          <w:lang w:val="en-GB"/>
        </w:rPr>
        <w:t>All public servants</w:t>
      </w:r>
      <w:r w:rsidRPr="005618E4">
        <w:rPr>
          <w:rFonts w:ascii="Aptos" w:eastAsia="Aptos" w:hAnsi="Aptos" w:cs="Aptos"/>
          <w:lang w:val="en-GB"/>
        </w:rPr>
        <w:t xml:space="preserve">, including senior leaders, are required to identify, disclose, and manage actual, potential, or perceived conflicts of interest as part of their employment obligations. This is also expected under the Commission’s </w:t>
      </w:r>
      <w:hyperlink r:id="rId9">
        <w:r w:rsidRPr="005618E4">
          <w:rPr>
            <w:rFonts w:ascii="Aptos" w:eastAsia="Aptos" w:hAnsi="Aptos" w:cs="Aptos"/>
            <w:color w:val="467886"/>
            <w:u w:val="single"/>
            <w:lang w:val="en-GB"/>
          </w:rPr>
          <w:t>conflict of interest model standards.</w:t>
        </w:r>
      </w:hyperlink>
      <w:r w:rsidRPr="005618E4">
        <w:rPr>
          <w:rFonts w:ascii="Aptos" w:eastAsia="Aptos" w:hAnsi="Aptos" w:cs="Aptos"/>
          <w:lang w:val="en-GB"/>
        </w:rPr>
        <w:t xml:space="preserve"> This process is managed internally by organisations. </w:t>
      </w:r>
    </w:p>
    <w:p w14:paraId="42DAE084" w14:textId="77777777" w:rsidR="001B6F08" w:rsidRPr="005618E4" w:rsidRDefault="001B6F08" w:rsidP="001B6F08">
      <w:pPr>
        <w:numPr>
          <w:ilvl w:val="0"/>
          <w:numId w:val="11"/>
        </w:numPr>
        <w:spacing w:after="0" w:line="278" w:lineRule="auto"/>
        <w:contextualSpacing/>
        <w:rPr>
          <w:rFonts w:ascii="Aptos" w:eastAsia="Aptos" w:hAnsi="Aptos" w:cs="Aptos"/>
          <w:lang w:val="en-GB"/>
        </w:rPr>
      </w:pPr>
      <w:r w:rsidRPr="005618E4">
        <w:rPr>
          <w:rFonts w:ascii="Aptos" w:eastAsia="Aptos" w:hAnsi="Aptos" w:cs="Aptos"/>
          <w:b/>
          <w:bCs/>
          <w:lang w:val="en-GB"/>
        </w:rPr>
        <w:t>Chief executives of public service departments</w:t>
      </w:r>
      <w:r w:rsidRPr="005618E4">
        <w:rPr>
          <w:rFonts w:ascii="Aptos" w:eastAsia="Aptos" w:hAnsi="Aptos" w:cs="Aptos"/>
          <w:lang w:val="en-GB"/>
        </w:rPr>
        <w:t xml:space="preserve"> are required to disclose their conflicts of interest to the Commission and develop a management plan for these. </w:t>
      </w:r>
    </w:p>
    <w:p w14:paraId="61E3F5A7" w14:textId="77777777" w:rsidR="001B6F08" w:rsidRPr="005618E4" w:rsidRDefault="001B6F08" w:rsidP="001B6F08">
      <w:pPr>
        <w:numPr>
          <w:ilvl w:val="0"/>
          <w:numId w:val="11"/>
        </w:numPr>
        <w:spacing w:after="0" w:line="278" w:lineRule="auto"/>
        <w:contextualSpacing/>
        <w:rPr>
          <w:rFonts w:ascii="Aptos" w:eastAsia="Aptos" w:hAnsi="Aptos" w:cs="Aptos"/>
          <w:lang w:val="en-GB"/>
        </w:rPr>
      </w:pPr>
      <w:r w:rsidRPr="005618E4">
        <w:rPr>
          <w:rFonts w:ascii="Aptos" w:eastAsia="Aptos" w:hAnsi="Aptos" w:cs="Aptos"/>
          <w:b/>
          <w:bCs/>
          <w:lang w:val="en-GB"/>
        </w:rPr>
        <w:t>Crown entity chief executives</w:t>
      </w:r>
      <w:r w:rsidRPr="005618E4">
        <w:rPr>
          <w:rFonts w:ascii="Aptos" w:eastAsia="Aptos" w:hAnsi="Aptos" w:cs="Aptos"/>
          <w:lang w:val="en-GB"/>
        </w:rPr>
        <w:t xml:space="preserve"> generally disclose conflicts of interest to their boards. </w:t>
      </w:r>
    </w:p>
    <w:p w14:paraId="0153EF5F" w14:textId="77777777" w:rsidR="001B6F08" w:rsidRPr="005618E4" w:rsidRDefault="001B6F08" w:rsidP="001B6F08">
      <w:pPr>
        <w:numPr>
          <w:ilvl w:val="0"/>
          <w:numId w:val="11"/>
        </w:numPr>
        <w:spacing w:after="0" w:line="278" w:lineRule="auto"/>
        <w:contextualSpacing/>
        <w:rPr>
          <w:rFonts w:ascii="Aptos" w:eastAsia="Aptos" w:hAnsi="Aptos" w:cs="Aptos"/>
          <w:lang w:val="en-GB"/>
        </w:rPr>
      </w:pPr>
      <w:r w:rsidRPr="005618E4">
        <w:rPr>
          <w:rFonts w:ascii="Aptos" w:eastAsia="Aptos" w:hAnsi="Aptos" w:cs="Aptos"/>
          <w:b/>
          <w:bCs/>
          <w:lang w:val="en-GB"/>
        </w:rPr>
        <w:t>Board members of crown entities</w:t>
      </w:r>
      <w:r w:rsidRPr="005618E4">
        <w:rPr>
          <w:rFonts w:ascii="Aptos" w:eastAsia="Aptos" w:hAnsi="Aptos" w:cs="Aptos"/>
          <w:lang w:val="en-GB"/>
        </w:rPr>
        <w:t xml:space="preserve"> disclose interests to the board chair (or in some circumstances to the deputy chair or responsible Minister)</w:t>
      </w:r>
    </w:p>
    <w:p w14:paraId="0C12D1FA" w14:textId="77777777" w:rsidR="001B6F08" w:rsidRPr="005618E4" w:rsidRDefault="001B6F08" w:rsidP="001B6F08">
      <w:pPr>
        <w:numPr>
          <w:ilvl w:val="0"/>
          <w:numId w:val="11"/>
        </w:numPr>
        <w:spacing w:after="0" w:line="278" w:lineRule="auto"/>
        <w:contextualSpacing/>
        <w:rPr>
          <w:rFonts w:ascii="Aptos" w:eastAsia="Aptos" w:hAnsi="Aptos" w:cs="Aptos"/>
          <w:lang w:val="en-GB"/>
        </w:rPr>
      </w:pPr>
      <w:r w:rsidRPr="005618E4">
        <w:rPr>
          <w:rFonts w:ascii="Aptos" w:eastAsia="Aptos" w:hAnsi="Aptos" w:cs="Aptos"/>
          <w:lang w:val="en-GB"/>
        </w:rPr>
        <w:t>Conflicts of interest are usually managed through internal processes such as disclosure, recusal, delegation of decisions, or other management plans.</w:t>
      </w:r>
    </w:p>
    <w:p w14:paraId="490E1BB8" w14:textId="77777777" w:rsidR="001B6F08" w:rsidRPr="005618E4" w:rsidRDefault="001B6F08" w:rsidP="001B6F08">
      <w:pPr>
        <w:numPr>
          <w:ilvl w:val="0"/>
          <w:numId w:val="11"/>
        </w:numPr>
        <w:spacing w:after="0" w:line="278" w:lineRule="auto"/>
        <w:contextualSpacing/>
        <w:rPr>
          <w:rFonts w:ascii="Aptos" w:eastAsia="Aptos" w:hAnsi="Aptos" w:cs="Aptos"/>
          <w:sz w:val="28"/>
          <w:szCs w:val="28"/>
          <w:lang w:val="en-GB"/>
        </w:rPr>
      </w:pPr>
      <w:r w:rsidRPr="005618E4">
        <w:rPr>
          <w:rFonts w:ascii="Aptos" w:eastAsia="Aptos" w:hAnsi="Aptos" w:cs="Aptos"/>
          <w:b/>
          <w:bCs/>
          <w:lang w:val="en-GB"/>
        </w:rPr>
        <w:t>There is no requirement to publish interest registers or management plans</w:t>
      </w:r>
      <w:r w:rsidRPr="005618E4">
        <w:rPr>
          <w:rFonts w:ascii="Aptos" w:eastAsia="Aptos" w:hAnsi="Aptos" w:cs="Aptos"/>
          <w:lang w:val="en-GB"/>
        </w:rPr>
        <w:t>. Some entities publish interest registers in annual reports or meeting minutes, but most do not. Interest registers can also be requested under the Official Information Act, on an organisation-by-organisation basis.</w:t>
      </w:r>
    </w:p>
    <w:p w14:paraId="3D4A3427" w14:textId="77777777" w:rsidR="001B6F08" w:rsidRPr="005618E4" w:rsidRDefault="001B6F08" w:rsidP="001B6F08">
      <w:pPr>
        <w:numPr>
          <w:ilvl w:val="0"/>
          <w:numId w:val="11"/>
        </w:numPr>
        <w:spacing w:after="0" w:line="278" w:lineRule="auto"/>
        <w:contextualSpacing/>
        <w:rPr>
          <w:rFonts w:ascii="Aptos" w:eastAsia="Aptos" w:hAnsi="Aptos" w:cs="Aptos"/>
          <w:sz w:val="28"/>
          <w:szCs w:val="28"/>
          <w:lang w:val="en-GB"/>
        </w:rPr>
      </w:pPr>
      <w:r w:rsidRPr="005618E4">
        <w:rPr>
          <w:rFonts w:ascii="Aptos" w:eastAsia="Aptos" w:hAnsi="Aptos" w:cs="Aptos"/>
          <w:lang w:val="en-GB"/>
        </w:rPr>
        <w:t xml:space="preserve">The </w:t>
      </w:r>
      <w:hyperlink r:id="rId10" w:history="1">
        <w:r w:rsidRPr="005618E4">
          <w:rPr>
            <w:rFonts w:ascii="Aptos" w:eastAsia="Aptos" w:hAnsi="Aptos" w:cs="Aptos"/>
            <w:b/>
            <w:bCs/>
            <w:color w:val="467886" w:themeColor="hyperlink"/>
            <w:u w:val="single"/>
            <w:lang w:val="en-GB"/>
          </w:rPr>
          <w:t>Office of the Auditor General Guidance on conflicts of interest</w:t>
        </w:r>
      </w:hyperlink>
      <w:r w:rsidRPr="005618E4">
        <w:rPr>
          <w:rFonts w:ascii="Aptos" w:eastAsia="Aptos" w:hAnsi="Aptos" w:cs="Aptos"/>
          <w:lang w:val="en-GB"/>
        </w:rPr>
        <w:t xml:space="preserve"> recommends that even where there is no legal requirement to publicly disclose employee or office holder interests, public organisations should consider the benefits of doing so.</w:t>
      </w:r>
      <w:r w:rsidRPr="005618E4">
        <w:rPr>
          <w:rFonts w:ascii="Aptos" w:eastAsia="Aptos" w:hAnsi="Aptos" w:cs="Aptos"/>
          <w:sz w:val="28"/>
          <w:szCs w:val="28"/>
          <w:lang w:val="en-GB"/>
        </w:rPr>
        <w:t xml:space="preserve"> </w:t>
      </w:r>
    </w:p>
    <w:p w14:paraId="62BF9747" w14:textId="77777777" w:rsidR="001B6F08" w:rsidRPr="005618E4" w:rsidRDefault="001B6F08" w:rsidP="001B6F08">
      <w:pPr>
        <w:numPr>
          <w:ilvl w:val="0"/>
          <w:numId w:val="11"/>
        </w:numPr>
        <w:spacing w:after="0" w:line="278" w:lineRule="auto"/>
        <w:contextualSpacing/>
        <w:rPr>
          <w:rFonts w:ascii="Aptos" w:eastAsia="Aptos" w:hAnsi="Aptos" w:cs="Aptos"/>
          <w:sz w:val="28"/>
          <w:szCs w:val="28"/>
          <w:lang w:val="en-GB"/>
        </w:rPr>
      </w:pPr>
      <w:r w:rsidRPr="005618E4">
        <w:rPr>
          <w:rFonts w:ascii="Aptos" w:eastAsia="Aptos" w:hAnsi="Aptos" w:cs="Aptos"/>
          <w:lang w:val="en-GB"/>
        </w:rPr>
        <w:t xml:space="preserve">While interest registers are not published for senior public servants, interest registers for both </w:t>
      </w:r>
      <w:hyperlink r:id="rId11" w:history="1">
        <w:r w:rsidRPr="005618E4">
          <w:rPr>
            <w:rFonts w:ascii="Aptos" w:eastAsia="Aptos" w:hAnsi="Aptos" w:cs="Aptos"/>
            <w:b/>
            <w:color w:val="467886" w:themeColor="hyperlink"/>
            <w:u w:val="single"/>
            <w:lang w:val="en-GB"/>
          </w:rPr>
          <w:t>Government Ministers</w:t>
        </w:r>
      </w:hyperlink>
      <w:r w:rsidRPr="005618E4">
        <w:rPr>
          <w:rFonts w:ascii="Aptos" w:eastAsia="Aptos" w:hAnsi="Aptos" w:cs="Aptos"/>
          <w:lang w:val="en-GB"/>
        </w:rPr>
        <w:t xml:space="preserve"> and </w:t>
      </w:r>
      <w:hyperlink r:id="rId12" w:history="1">
        <w:r w:rsidRPr="005618E4">
          <w:rPr>
            <w:rFonts w:ascii="Aptos" w:eastAsia="Aptos" w:hAnsi="Aptos" w:cs="Aptos"/>
            <w:b/>
            <w:color w:val="467886" w:themeColor="hyperlink"/>
            <w:u w:val="single"/>
            <w:lang w:val="en-GB"/>
          </w:rPr>
          <w:t>MPs</w:t>
        </w:r>
      </w:hyperlink>
      <w:r w:rsidRPr="005618E4">
        <w:rPr>
          <w:rFonts w:ascii="Aptos" w:eastAsia="Aptos" w:hAnsi="Aptos" w:cs="Aptos"/>
          <w:lang w:val="en-GB"/>
        </w:rPr>
        <w:t xml:space="preserve"> are publicly available.</w:t>
      </w:r>
    </w:p>
    <w:p w14:paraId="6B1B7A33" w14:textId="77777777" w:rsidR="001B6F08" w:rsidRPr="001B6F08" w:rsidRDefault="001B6F08" w:rsidP="001B6F08">
      <w:pPr>
        <w:keepNext/>
        <w:keepLines/>
        <w:spacing w:before="160" w:after="80" w:line="278" w:lineRule="auto"/>
        <w:outlineLvl w:val="2"/>
        <w:rPr>
          <w:rFonts w:ascii="Aptos" w:eastAsia="Aptos" w:hAnsi="Aptos" w:cs="Aptos"/>
          <w:color w:val="0F4761" w:themeColor="accent1" w:themeShade="BF"/>
          <w:sz w:val="28"/>
          <w:szCs w:val="28"/>
          <w:lang w:val="en-GB"/>
        </w:rPr>
      </w:pPr>
      <w:r w:rsidRPr="001B6F08">
        <w:rPr>
          <w:rFonts w:ascii="Aptos" w:eastAsia="Aptos" w:hAnsi="Aptos" w:cs="Aptos"/>
          <w:color w:val="0F4761" w:themeColor="accent1" w:themeShade="BF"/>
          <w:sz w:val="28"/>
          <w:szCs w:val="28"/>
          <w:lang w:val="en-GB"/>
        </w:rPr>
        <w:lastRenderedPageBreak/>
        <w:t xml:space="preserve">Feedback from OGP workshops </w:t>
      </w:r>
    </w:p>
    <w:p w14:paraId="182BD697" w14:textId="77777777" w:rsidR="001B6F08" w:rsidRPr="005618E4" w:rsidRDefault="001B6F08" w:rsidP="001B6F08">
      <w:pPr>
        <w:spacing w:after="0" w:line="278" w:lineRule="auto"/>
        <w:rPr>
          <w:rFonts w:ascii="Aptos" w:eastAsia="Aptos" w:hAnsi="Aptos" w:cs="Aptos"/>
          <w:lang w:val="en-GB"/>
        </w:rPr>
      </w:pPr>
      <w:r w:rsidRPr="005618E4">
        <w:rPr>
          <w:rFonts w:ascii="Aptos" w:eastAsia="Aptos" w:hAnsi="Aptos" w:cs="Aptos"/>
          <w:lang w:val="en-GB"/>
        </w:rPr>
        <w:t xml:space="preserve">During the development of the fifth OGP National Action Plan, workshop participants raised conflict of interest management as a possible area for improvement. Issues participants raised included that: </w:t>
      </w:r>
    </w:p>
    <w:p w14:paraId="64D40D3C" w14:textId="77777777" w:rsidR="001B6F08" w:rsidRPr="005618E4" w:rsidRDefault="001B6F08" w:rsidP="001B6F08">
      <w:pPr>
        <w:numPr>
          <w:ilvl w:val="0"/>
          <w:numId w:val="13"/>
        </w:numPr>
        <w:spacing w:after="0" w:line="278" w:lineRule="auto"/>
        <w:contextualSpacing/>
        <w:rPr>
          <w:rFonts w:ascii="Aptos" w:eastAsia="Aptos" w:hAnsi="Aptos" w:cs="Aptos"/>
          <w:lang w:val="en-US"/>
        </w:rPr>
      </w:pPr>
      <w:r w:rsidRPr="005618E4">
        <w:rPr>
          <w:rFonts w:ascii="Aptos" w:eastAsia="Aptos" w:hAnsi="Aptos" w:cs="Aptos"/>
          <w:lang w:val="en-US"/>
        </w:rPr>
        <w:t xml:space="preserve">Knowledge and understanding around conflicts of interest is variable across agencies.  </w:t>
      </w:r>
    </w:p>
    <w:p w14:paraId="360CA159" w14:textId="77777777" w:rsidR="001B6F08" w:rsidRPr="005618E4" w:rsidRDefault="001B6F08" w:rsidP="001B6F08">
      <w:pPr>
        <w:numPr>
          <w:ilvl w:val="0"/>
          <w:numId w:val="13"/>
        </w:numPr>
        <w:spacing w:after="0" w:line="278" w:lineRule="auto"/>
        <w:contextualSpacing/>
        <w:rPr>
          <w:rFonts w:ascii="Aptos" w:eastAsia="Aptos" w:hAnsi="Aptos" w:cs="Aptos"/>
          <w:lang w:val="en-GB"/>
        </w:rPr>
      </w:pPr>
      <w:r w:rsidRPr="005618E4">
        <w:rPr>
          <w:rFonts w:ascii="Aptos" w:eastAsia="Aptos" w:hAnsi="Aptos" w:cs="Aptos"/>
          <w:lang w:val="en-GB"/>
        </w:rPr>
        <w:t xml:space="preserve">There is currently no centralised data available on the conflicts of interest for senior public servants, meaning transparency is low. </w:t>
      </w:r>
    </w:p>
    <w:p w14:paraId="1D96920D" w14:textId="77777777" w:rsidR="001B6F08" w:rsidRPr="005618E4" w:rsidRDefault="001B6F08" w:rsidP="001B6F08">
      <w:pPr>
        <w:numPr>
          <w:ilvl w:val="0"/>
          <w:numId w:val="13"/>
        </w:numPr>
        <w:spacing w:after="0" w:line="278" w:lineRule="auto"/>
        <w:contextualSpacing/>
        <w:rPr>
          <w:rFonts w:ascii="Aptos" w:eastAsia="Aptos" w:hAnsi="Aptos" w:cs="Aptos"/>
          <w:lang w:val="en-GB"/>
        </w:rPr>
      </w:pPr>
      <w:r w:rsidRPr="005618E4">
        <w:rPr>
          <w:rFonts w:ascii="Aptos" w:eastAsia="Aptos" w:hAnsi="Aptos" w:cs="Aptos"/>
          <w:lang w:val="en-GB"/>
        </w:rPr>
        <w:t xml:space="preserve">The management of conflicts of interest is an important part of our integrity culture and helps ensure staff are protected. </w:t>
      </w:r>
    </w:p>
    <w:p w14:paraId="346DB179" w14:textId="77777777" w:rsidR="001B6F08" w:rsidRPr="001B6F08" w:rsidRDefault="001B6F08" w:rsidP="001B6F08">
      <w:pPr>
        <w:keepNext/>
        <w:keepLines/>
        <w:spacing w:before="160" w:after="80" w:line="278" w:lineRule="auto"/>
        <w:outlineLvl w:val="2"/>
        <w:rPr>
          <w:rFonts w:ascii="Aptos" w:eastAsia="Aptos" w:hAnsi="Aptos" w:cs="Aptos"/>
          <w:color w:val="0F4761" w:themeColor="accent1" w:themeShade="BF"/>
          <w:sz w:val="28"/>
          <w:szCs w:val="28"/>
          <w:lang w:val="en-GB"/>
        </w:rPr>
      </w:pPr>
      <w:r w:rsidRPr="001B6F08">
        <w:rPr>
          <w:rFonts w:ascii="Aptos" w:eastAsia="Aptos" w:hAnsi="Aptos" w:cs="Aptos"/>
          <w:color w:val="0F4761" w:themeColor="accent1" w:themeShade="BF"/>
          <w:sz w:val="28"/>
          <w:szCs w:val="28"/>
          <w:lang w:val="en-GB"/>
        </w:rPr>
        <w:t>Key Questions for the reference group</w:t>
      </w:r>
    </w:p>
    <w:p w14:paraId="6F3E4400" w14:textId="77777777" w:rsidR="001B6F08" w:rsidRPr="005618E4" w:rsidRDefault="001B6F08" w:rsidP="001B6F08">
      <w:pPr>
        <w:spacing w:after="0" w:line="278" w:lineRule="auto"/>
        <w:rPr>
          <w:rFonts w:ascii="Aptos" w:eastAsia="Aptos" w:hAnsi="Aptos" w:cs="Aptos"/>
          <w:lang w:val="en-GB"/>
        </w:rPr>
      </w:pPr>
      <w:r w:rsidRPr="005618E4">
        <w:rPr>
          <w:rFonts w:ascii="Aptos" w:eastAsia="Aptos" w:hAnsi="Aptos" w:cs="Aptos"/>
          <w:lang w:val="en-GB"/>
        </w:rPr>
        <w:t xml:space="preserve">Below are some key questions for the group to guide discussion. For each question we have included a non-exhaustive list of prompts to indicate the types of issues we’re interest in your views on. </w:t>
      </w:r>
    </w:p>
    <w:p w14:paraId="42C3940F" w14:textId="77777777" w:rsidR="001B6F08" w:rsidRPr="001B6F08" w:rsidRDefault="001B6F08" w:rsidP="001B6F08">
      <w:pPr>
        <w:keepNext/>
        <w:keepLines/>
        <w:spacing w:before="281" w:after="281" w:line="278" w:lineRule="auto"/>
        <w:outlineLvl w:val="2"/>
        <w:rPr>
          <w:rFonts w:ascii="Aptos" w:eastAsia="Aptos" w:hAnsi="Aptos" w:cs="Aptos"/>
          <w:color w:val="0F4761" w:themeColor="accent1" w:themeShade="BF"/>
          <w:sz w:val="28"/>
          <w:szCs w:val="28"/>
          <w:lang w:val="en-GB"/>
        </w:rPr>
      </w:pPr>
      <w:r w:rsidRPr="001B6F08">
        <w:rPr>
          <w:rFonts w:ascii="Aptos" w:eastAsia="Aptos" w:hAnsi="Aptos" w:cs="Aptos"/>
          <w:color w:val="0F4761" w:themeColor="accent1" w:themeShade="BF"/>
          <w:sz w:val="28"/>
          <w:szCs w:val="28"/>
          <w:lang w:val="en-GB"/>
        </w:rPr>
        <w:t>1. Who should be covered by increased transparency?</w:t>
      </w:r>
      <w:r w:rsidRPr="001B6F08">
        <w:rPr>
          <w:rFonts w:ascii="Aptos" w:eastAsia="Aptos" w:hAnsi="Aptos" w:cs="Aptos"/>
          <w:color w:val="0F4761" w:themeColor="accent1" w:themeShade="BF"/>
          <w:sz w:val="28"/>
          <w:szCs w:val="28"/>
          <w:lang w:val="en-GB"/>
        </w:rPr>
        <w:tab/>
      </w:r>
    </w:p>
    <w:p w14:paraId="6413D831" w14:textId="77777777" w:rsidR="001B6F08" w:rsidRPr="005618E4" w:rsidRDefault="001B6F08" w:rsidP="001B6F08">
      <w:pPr>
        <w:numPr>
          <w:ilvl w:val="0"/>
          <w:numId w:val="18"/>
        </w:numPr>
        <w:spacing w:after="0" w:line="278" w:lineRule="auto"/>
        <w:contextualSpacing/>
        <w:rPr>
          <w:rFonts w:ascii="Aptos" w:eastAsia="Aptos" w:hAnsi="Aptos" w:cs="Aptos"/>
        </w:rPr>
      </w:pPr>
      <w:r w:rsidRPr="005618E4">
        <w:rPr>
          <w:rFonts w:ascii="Aptos" w:eastAsia="Aptos" w:hAnsi="Aptos" w:cs="Aptos"/>
        </w:rPr>
        <w:t>What roles should be covered by increased transparency requirements, and what criteria should be used to determine inclusion (for example, job tier, budget responsibility, or role-specific functions)? Should governance roles be included, where these exist for a particular entity?</w:t>
      </w:r>
    </w:p>
    <w:p w14:paraId="6859BA59" w14:textId="77777777" w:rsidR="001B6F08" w:rsidRPr="005618E4" w:rsidRDefault="001B6F08" w:rsidP="001B6F08">
      <w:pPr>
        <w:numPr>
          <w:ilvl w:val="0"/>
          <w:numId w:val="18"/>
        </w:numPr>
        <w:spacing w:after="0" w:line="278" w:lineRule="auto"/>
        <w:contextualSpacing/>
        <w:rPr>
          <w:rFonts w:ascii="Aptos" w:eastAsia="Aptos" w:hAnsi="Aptos" w:cs="Aptos"/>
          <w:lang w:val="en-GB"/>
        </w:rPr>
      </w:pPr>
      <w:r w:rsidRPr="005618E4">
        <w:rPr>
          <w:rFonts w:ascii="Aptos" w:eastAsia="Aptos" w:hAnsi="Aptos" w:cs="Aptos"/>
          <w:lang w:val="en-GB"/>
        </w:rPr>
        <w:t xml:space="preserve">How can we ensure consistency across organisations with different organisational structures and risk settings? For example, a tier 3 leader could be a team manager in a small agency or a group manager with a significant budget in a bigger agency. </w:t>
      </w:r>
    </w:p>
    <w:p w14:paraId="554ECD69" w14:textId="77777777" w:rsidR="001B6F08" w:rsidRPr="005618E4" w:rsidRDefault="001B6F08" w:rsidP="001B6F08">
      <w:pPr>
        <w:numPr>
          <w:ilvl w:val="0"/>
          <w:numId w:val="18"/>
        </w:numPr>
        <w:spacing w:after="0" w:line="278" w:lineRule="auto"/>
        <w:contextualSpacing/>
        <w:rPr>
          <w:rFonts w:ascii="Aptos" w:eastAsia="Aptos" w:hAnsi="Aptos" w:cs="Aptos"/>
        </w:rPr>
      </w:pPr>
      <w:r w:rsidRPr="005618E4">
        <w:rPr>
          <w:rFonts w:ascii="Aptos" w:eastAsia="Aptos" w:hAnsi="Aptos" w:cs="Aptos"/>
        </w:rPr>
        <w:t>What are the risks and benefits of including a wide range of roles in scope? Is there a risk a wide scope of coverage could overwhelm the public with information that is not materially relevant?</w:t>
      </w:r>
    </w:p>
    <w:p w14:paraId="4B2B1042" w14:textId="77777777" w:rsidR="001B6F08" w:rsidRPr="005618E4" w:rsidRDefault="001B6F08" w:rsidP="001B6F08">
      <w:pPr>
        <w:numPr>
          <w:ilvl w:val="0"/>
          <w:numId w:val="18"/>
        </w:numPr>
        <w:spacing w:after="0" w:line="278" w:lineRule="auto"/>
        <w:contextualSpacing/>
        <w:rPr>
          <w:rFonts w:ascii="Aptos" w:eastAsia="Aptos" w:hAnsi="Aptos" w:cs="Aptos"/>
          <w:b/>
          <w:bCs/>
          <w:lang w:val="en-GB"/>
        </w:rPr>
      </w:pPr>
      <w:r w:rsidRPr="005618E4">
        <w:rPr>
          <w:rFonts w:ascii="Aptos" w:eastAsia="Aptos" w:hAnsi="Aptos" w:cs="Aptos"/>
        </w:rPr>
        <w:t xml:space="preserve">How could any </w:t>
      </w:r>
      <w:r w:rsidRPr="005618E4">
        <w:rPr>
          <w:rFonts w:ascii="Aptos" w:eastAsia="Aptos" w:hAnsi="Aptos" w:cs="Aptos"/>
          <w:lang w:val="en-US"/>
        </w:rPr>
        <w:t xml:space="preserve">decisions be implemented and applied to different groups, including Crown entities? The Public Service Commissioner is the employer of </w:t>
      </w:r>
      <w:r w:rsidRPr="005618E4">
        <w:rPr>
          <w:rFonts w:ascii="Aptos" w:eastAsia="Aptos" w:hAnsi="Aptos" w:cs="Aptos"/>
          <w:lang w:val="en-GB"/>
        </w:rPr>
        <w:t>public service agency CEs, but not CEs of Crown entities (who report to their Board) or other public servants (who are employed by their agency CE).</w:t>
      </w:r>
    </w:p>
    <w:p w14:paraId="4E1B8905" w14:textId="77777777" w:rsidR="001B6F08" w:rsidRPr="001B6F08" w:rsidRDefault="001B6F08" w:rsidP="001B6F08">
      <w:pPr>
        <w:keepNext/>
        <w:keepLines/>
        <w:spacing w:before="281" w:after="281" w:line="278" w:lineRule="auto"/>
        <w:outlineLvl w:val="2"/>
        <w:rPr>
          <w:rFonts w:ascii="Aptos" w:eastAsia="Aptos" w:hAnsi="Aptos" w:cs="Aptos"/>
          <w:color w:val="0F4761" w:themeColor="accent1" w:themeShade="BF"/>
          <w:sz w:val="28"/>
          <w:szCs w:val="28"/>
          <w:lang w:val="en-GB"/>
        </w:rPr>
      </w:pPr>
      <w:r w:rsidRPr="001B6F08">
        <w:rPr>
          <w:rFonts w:ascii="Aptos" w:eastAsia="Aptos" w:hAnsi="Aptos" w:cs="Aptos"/>
          <w:color w:val="0F4761" w:themeColor="accent1" w:themeShade="BF"/>
          <w:sz w:val="22"/>
          <w:szCs w:val="22"/>
          <w:lang w:val="en-GB"/>
        </w:rPr>
        <w:t xml:space="preserve"> </w:t>
      </w:r>
      <w:r w:rsidRPr="001B6F08">
        <w:rPr>
          <w:rFonts w:ascii="Aptos" w:eastAsia="Aptos" w:hAnsi="Aptos" w:cs="Aptos"/>
          <w:color w:val="0F4761" w:themeColor="accent1" w:themeShade="BF"/>
          <w:sz w:val="28"/>
          <w:szCs w:val="28"/>
          <w:lang w:val="en-GB"/>
        </w:rPr>
        <w:t>2. What types of interests should be covered?</w:t>
      </w:r>
    </w:p>
    <w:p w14:paraId="116464E1" w14:textId="77777777" w:rsidR="001B6F08" w:rsidRPr="005618E4" w:rsidRDefault="001B6F08" w:rsidP="001B6F08">
      <w:pPr>
        <w:numPr>
          <w:ilvl w:val="0"/>
          <w:numId w:val="14"/>
        </w:numPr>
        <w:spacing w:after="0" w:line="278" w:lineRule="auto"/>
        <w:contextualSpacing/>
        <w:rPr>
          <w:rFonts w:ascii="Aptos" w:eastAsia="Aptos" w:hAnsi="Aptos" w:cs="Aptos"/>
          <w:lang w:val="en-GB"/>
        </w:rPr>
      </w:pPr>
      <w:r w:rsidRPr="005618E4">
        <w:rPr>
          <w:rFonts w:ascii="Aptos" w:eastAsia="Aptos" w:hAnsi="Aptos" w:cs="Aptos"/>
          <w:lang w:val="en-GB"/>
        </w:rPr>
        <w:t xml:space="preserve">What types of interests should be within the scope of increased transparency requirements? E.g. should this cover all interests declared to an employer, including both financial and non-financial interests? </w:t>
      </w:r>
    </w:p>
    <w:p w14:paraId="537EB9F8" w14:textId="77777777" w:rsidR="001B6F08" w:rsidRPr="005618E4" w:rsidRDefault="001B6F08" w:rsidP="001B6F08">
      <w:pPr>
        <w:numPr>
          <w:ilvl w:val="0"/>
          <w:numId w:val="14"/>
        </w:numPr>
        <w:spacing w:after="0" w:line="278" w:lineRule="auto"/>
        <w:contextualSpacing/>
        <w:rPr>
          <w:rFonts w:ascii="Aptos" w:eastAsia="Aptos" w:hAnsi="Aptos" w:cs="Aptos"/>
          <w:lang w:val="en-GB"/>
        </w:rPr>
      </w:pPr>
      <w:r w:rsidRPr="005618E4">
        <w:rPr>
          <w:rFonts w:ascii="Aptos" w:eastAsia="Aptos" w:hAnsi="Aptos" w:cs="Aptos"/>
          <w:lang w:val="en-GB"/>
        </w:rPr>
        <w:lastRenderedPageBreak/>
        <w:t>How should the interests of family members and other associates be covered for the purposes of publishing interests? Is it better to take a prescriptive approach that clearly lists what family members are in scope (similar to that in the Crown Entities Act 2004) or to use a more flexible definition?</w:t>
      </w:r>
    </w:p>
    <w:p w14:paraId="3FB13BB5" w14:textId="77777777" w:rsidR="001B6F08" w:rsidRPr="005618E4" w:rsidRDefault="001B6F08" w:rsidP="001B6F08">
      <w:pPr>
        <w:numPr>
          <w:ilvl w:val="0"/>
          <w:numId w:val="14"/>
        </w:numPr>
        <w:spacing w:after="0" w:line="278" w:lineRule="auto"/>
        <w:contextualSpacing/>
        <w:rPr>
          <w:rFonts w:ascii="Aptos" w:eastAsia="Aptos" w:hAnsi="Aptos" w:cs="Aptos"/>
          <w:lang w:val="en-GB"/>
        </w:rPr>
      </w:pPr>
      <w:r w:rsidRPr="005618E4">
        <w:rPr>
          <w:rFonts w:ascii="Aptos" w:eastAsia="Aptos" w:hAnsi="Aptos" w:cs="Aptos"/>
          <w:lang w:val="en-GB"/>
        </w:rPr>
        <w:t xml:space="preserve">How should we determine what interests are materially relevant? Not all interests are likely to result in a conflict of interest, and requiring the publication of any interest may overwhelm rather than inform the public. </w:t>
      </w:r>
    </w:p>
    <w:p w14:paraId="0D4C55B7" w14:textId="77777777" w:rsidR="001B6F08" w:rsidRPr="001B6F08" w:rsidRDefault="001B6F08" w:rsidP="001B6F08">
      <w:pPr>
        <w:keepNext/>
        <w:keepLines/>
        <w:spacing w:before="281" w:after="281" w:line="278" w:lineRule="auto"/>
        <w:outlineLvl w:val="2"/>
        <w:rPr>
          <w:rFonts w:ascii="Aptos" w:eastAsia="Aptos" w:hAnsi="Aptos" w:cs="Aptos"/>
          <w:color w:val="0F4761" w:themeColor="accent1" w:themeShade="BF"/>
          <w:sz w:val="28"/>
          <w:szCs w:val="28"/>
          <w:lang w:val="en-GB"/>
        </w:rPr>
      </w:pPr>
      <w:r w:rsidRPr="001B6F08">
        <w:rPr>
          <w:rFonts w:ascii="Aptos" w:eastAsia="Aptos" w:hAnsi="Aptos" w:cs="Aptos"/>
          <w:color w:val="0F4761" w:themeColor="accent1" w:themeShade="BF"/>
          <w:sz w:val="28"/>
          <w:szCs w:val="28"/>
          <w:lang w:val="en-GB"/>
        </w:rPr>
        <w:t>3. What level of information about interests should be made public?</w:t>
      </w:r>
    </w:p>
    <w:p w14:paraId="4481017B" w14:textId="77777777" w:rsidR="001B6F08" w:rsidRPr="005618E4" w:rsidRDefault="001B6F08" w:rsidP="001B6F08">
      <w:pPr>
        <w:numPr>
          <w:ilvl w:val="0"/>
          <w:numId w:val="17"/>
        </w:numPr>
        <w:spacing w:after="0" w:line="278" w:lineRule="auto"/>
        <w:contextualSpacing/>
        <w:rPr>
          <w:lang w:val="en-GB"/>
        </w:rPr>
      </w:pPr>
      <w:r w:rsidRPr="005618E4">
        <w:rPr>
          <w:rFonts w:ascii="Aptos" w:eastAsia="Aptos" w:hAnsi="Aptos" w:cs="Aptos"/>
          <w:lang w:val="en-GB"/>
        </w:rPr>
        <w:t xml:space="preserve">What level of detail should be published about a conflict of interest, noting the tension between transparency and privacy/employment obligations? For example, should only high-level summary level information be published, similar to what is published for MPs and Ministers? </w:t>
      </w:r>
    </w:p>
    <w:p w14:paraId="2422A7C6" w14:textId="77777777" w:rsidR="001B6F08" w:rsidRPr="005618E4" w:rsidRDefault="001B6F08" w:rsidP="001B6F08">
      <w:pPr>
        <w:numPr>
          <w:ilvl w:val="0"/>
          <w:numId w:val="17"/>
        </w:numPr>
        <w:spacing w:after="0" w:line="278" w:lineRule="auto"/>
        <w:contextualSpacing/>
        <w:rPr>
          <w:lang w:val="en-GB"/>
        </w:rPr>
      </w:pPr>
      <w:r w:rsidRPr="005618E4">
        <w:rPr>
          <w:lang w:val="en-US"/>
        </w:rPr>
        <w:t>Under what circumstances is it important that information on a conflict of interest is not made public (e.g. due to safety or privacy concerns)?</w:t>
      </w:r>
    </w:p>
    <w:p w14:paraId="608B1378" w14:textId="77777777" w:rsidR="001B6F08" w:rsidRPr="001B6F08" w:rsidRDefault="001B6F08" w:rsidP="001B6F08">
      <w:pPr>
        <w:keepNext/>
        <w:keepLines/>
        <w:spacing w:before="281" w:after="281" w:line="278" w:lineRule="auto"/>
        <w:outlineLvl w:val="2"/>
        <w:rPr>
          <w:rFonts w:ascii="Aptos" w:eastAsia="Aptos" w:hAnsi="Aptos" w:cs="Aptos"/>
          <w:color w:val="0F4761" w:themeColor="accent1" w:themeShade="BF"/>
          <w:sz w:val="28"/>
          <w:szCs w:val="28"/>
          <w:lang w:val="en-GB"/>
        </w:rPr>
      </w:pPr>
      <w:r w:rsidRPr="001B6F08">
        <w:rPr>
          <w:rFonts w:ascii="Aptos" w:eastAsia="Aptos" w:hAnsi="Aptos" w:cs="Aptos"/>
          <w:color w:val="0F4761" w:themeColor="accent1" w:themeShade="BF"/>
          <w:sz w:val="28"/>
          <w:szCs w:val="28"/>
          <w:lang w:val="en-GB"/>
        </w:rPr>
        <w:t>4. Where and how should information be published?</w:t>
      </w:r>
    </w:p>
    <w:p w14:paraId="5276D9CE" w14:textId="77777777" w:rsidR="001B6F08" w:rsidRPr="005618E4" w:rsidRDefault="001B6F08" w:rsidP="001B6F08">
      <w:pPr>
        <w:numPr>
          <w:ilvl w:val="0"/>
          <w:numId w:val="12"/>
        </w:numPr>
        <w:spacing w:after="0" w:line="278" w:lineRule="auto"/>
        <w:contextualSpacing/>
        <w:rPr>
          <w:rFonts w:ascii="Aptos" w:eastAsia="Aptos" w:hAnsi="Aptos" w:cs="Aptos"/>
          <w:b/>
          <w:bCs/>
          <w:lang w:val="en-GB"/>
        </w:rPr>
      </w:pPr>
      <w:r w:rsidRPr="005618E4">
        <w:rPr>
          <w:rFonts w:ascii="Aptos" w:eastAsia="Aptos" w:hAnsi="Aptos" w:cs="Aptos"/>
          <w:lang w:val="en-GB"/>
        </w:rPr>
        <w:t>Should conflicts be published centrally (e.g. by the PSC) or by individual agencies and organisations? What are the benefits of centralisation v agency managed publication?</w:t>
      </w:r>
    </w:p>
    <w:p w14:paraId="348E8D4D" w14:textId="77777777" w:rsidR="001B6F08" w:rsidRPr="005618E4" w:rsidRDefault="001B6F08" w:rsidP="001B6F08">
      <w:pPr>
        <w:numPr>
          <w:ilvl w:val="0"/>
          <w:numId w:val="12"/>
        </w:numPr>
        <w:spacing w:after="0" w:line="278" w:lineRule="auto"/>
        <w:contextualSpacing/>
        <w:rPr>
          <w:rFonts w:ascii="Aptos" w:eastAsia="Aptos" w:hAnsi="Aptos" w:cs="Aptos"/>
          <w:b/>
          <w:bCs/>
          <w:lang w:val="en-GB"/>
        </w:rPr>
      </w:pPr>
      <w:r w:rsidRPr="005618E4">
        <w:rPr>
          <w:rFonts w:ascii="Aptos" w:eastAsia="Aptos" w:hAnsi="Aptos" w:cs="Aptos"/>
          <w:lang w:val="en-GB"/>
        </w:rPr>
        <w:t xml:space="preserve">Could requirements to publish information on conflicts surface differences in approaches between agencies, and if </w:t>
      </w:r>
      <w:proofErr w:type="gramStart"/>
      <w:r w:rsidRPr="005618E4">
        <w:rPr>
          <w:rFonts w:ascii="Aptos" w:eastAsia="Aptos" w:hAnsi="Aptos" w:cs="Aptos"/>
          <w:lang w:val="en-GB"/>
        </w:rPr>
        <w:t>so</w:t>
      </w:r>
      <w:proofErr w:type="gramEnd"/>
      <w:r w:rsidRPr="005618E4">
        <w:rPr>
          <w:rFonts w:ascii="Aptos" w:eastAsia="Aptos" w:hAnsi="Aptos" w:cs="Aptos"/>
          <w:lang w:val="en-GB"/>
        </w:rPr>
        <w:t xml:space="preserve"> how should this be managed? </w:t>
      </w:r>
    </w:p>
    <w:p w14:paraId="5BCF982A" w14:textId="77777777" w:rsidR="001B6F08" w:rsidRPr="005618E4" w:rsidRDefault="001B6F08" w:rsidP="001B6F08">
      <w:pPr>
        <w:numPr>
          <w:ilvl w:val="0"/>
          <w:numId w:val="12"/>
        </w:numPr>
        <w:spacing w:after="0" w:line="278" w:lineRule="auto"/>
        <w:contextualSpacing/>
        <w:rPr>
          <w:rFonts w:ascii="Aptos" w:eastAsia="Aptos" w:hAnsi="Aptos" w:cs="Aptos"/>
          <w:lang w:val="en-GB"/>
        </w:rPr>
      </w:pPr>
      <w:r w:rsidRPr="005618E4">
        <w:rPr>
          <w:rFonts w:ascii="Aptos" w:eastAsia="Aptos" w:hAnsi="Aptos" w:cs="Aptos"/>
          <w:lang w:val="en-GB"/>
        </w:rPr>
        <w:t xml:space="preserve">If a centralised registry was developed, what governance and assurance arrangements are needed? </w:t>
      </w:r>
    </w:p>
    <w:p w14:paraId="460D7141" w14:textId="77777777" w:rsidR="001B6F08" w:rsidRPr="001B6F08" w:rsidRDefault="001B6F08" w:rsidP="001B6F08">
      <w:pPr>
        <w:keepNext/>
        <w:keepLines/>
        <w:spacing w:before="281" w:after="281" w:line="278" w:lineRule="auto"/>
        <w:outlineLvl w:val="2"/>
        <w:rPr>
          <w:rFonts w:ascii="Aptos" w:eastAsia="Aptos" w:hAnsi="Aptos" w:cs="Aptos"/>
          <w:color w:val="0F4761" w:themeColor="accent1" w:themeShade="BF"/>
          <w:sz w:val="28"/>
          <w:szCs w:val="28"/>
          <w:lang w:val="en-GB"/>
        </w:rPr>
      </w:pPr>
      <w:r w:rsidRPr="001B6F08">
        <w:rPr>
          <w:rFonts w:ascii="Aptos" w:eastAsia="Aptos" w:hAnsi="Aptos" w:cs="Aptos"/>
          <w:color w:val="0F4761" w:themeColor="accent1" w:themeShade="BF"/>
          <w:sz w:val="28"/>
          <w:szCs w:val="28"/>
          <w:lang w:val="en-GB"/>
        </w:rPr>
        <w:t xml:space="preserve">5. Other approaches to increasing transparency </w:t>
      </w:r>
    </w:p>
    <w:p w14:paraId="0CBE96F8" w14:textId="77777777" w:rsidR="001B6F08" w:rsidRPr="005618E4" w:rsidRDefault="001B6F08" w:rsidP="001B6F08">
      <w:pPr>
        <w:numPr>
          <w:ilvl w:val="0"/>
          <w:numId w:val="16"/>
        </w:numPr>
        <w:spacing w:after="0" w:line="278" w:lineRule="auto"/>
        <w:contextualSpacing/>
        <w:rPr>
          <w:rFonts w:ascii="Aptos" w:eastAsia="Aptos" w:hAnsi="Aptos" w:cs="Aptos"/>
          <w:b/>
          <w:bCs/>
          <w:lang w:val="en-GB"/>
        </w:rPr>
      </w:pPr>
      <w:r w:rsidRPr="005618E4">
        <w:rPr>
          <w:rFonts w:ascii="Aptos" w:eastAsia="Aptos" w:hAnsi="Aptos" w:cs="Aptos"/>
          <w:lang w:val="en-GB"/>
        </w:rPr>
        <w:t>Aside from publication of interests, what other approaches are there to increase transparency of senior leaders’ conflicts of interest?</w:t>
      </w:r>
      <w:r w:rsidRPr="005618E4">
        <w:rPr>
          <w:rFonts w:ascii="Aptos" w:eastAsia="Aptos" w:hAnsi="Aptos" w:cs="Aptos"/>
          <w:b/>
          <w:lang w:val="en-GB"/>
        </w:rPr>
        <w:t xml:space="preserve"> </w:t>
      </w:r>
    </w:p>
    <w:p w14:paraId="06B25F18" w14:textId="77777777" w:rsidR="001B6F08" w:rsidRPr="001B6F08" w:rsidRDefault="001B6F08" w:rsidP="001B6F08">
      <w:pPr>
        <w:spacing w:line="278" w:lineRule="auto"/>
        <w:rPr>
          <w:rFonts w:ascii="Aptos" w:eastAsia="Aptos" w:hAnsi="Aptos" w:cs="Aptos"/>
          <w:lang w:val="en-GB"/>
        </w:rPr>
      </w:pPr>
    </w:p>
    <w:p w14:paraId="03F6DBA3" w14:textId="77777777" w:rsidR="001B6F08" w:rsidRPr="001B6F08" w:rsidRDefault="001B6F08" w:rsidP="001B6F08">
      <w:pPr>
        <w:rPr>
          <w:lang w:val="en-GB"/>
        </w:rPr>
      </w:pPr>
    </w:p>
    <w:p w14:paraId="536DACC8" w14:textId="77777777" w:rsidR="00F86AFD" w:rsidRPr="00F86AFD" w:rsidRDefault="00F86AFD" w:rsidP="00F86AFD"/>
    <w:p w14:paraId="431DB261" w14:textId="5FF457BA" w:rsidR="00F6139B" w:rsidRDefault="00F6139B" w:rsidP="00F571B0"/>
    <w:sectPr w:rsidR="00F6139B" w:rsidSect="00276D78">
      <w:headerReference w:type="default"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010B" w14:textId="77777777" w:rsidR="00251A0A" w:rsidRPr="006C659B" w:rsidRDefault="00251A0A">
      <w:pPr>
        <w:spacing w:after="0" w:line="240" w:lineRule="auto"/>
      </w:pPr>
      <w:r w:rsidRPr="006C659B">
        <w:separator/>
      </w:r>
    </w:p>
  </w:endnote>
  <w:endnote w:type="continuationSeparator" w:id="0">
    <w:p w14:paraId="6C6AD6D8" w14:textId="77777777" w:rsidR="00251A0A" w:rsidRPr="006C659B" w:rsidRDefault="00251A0A">
      <w:pPr>
        <w:spacing w:after="0" w:line="240" w:lineRule="auto"/>
      </w:pPr>
      <w:r w:rsidRPr="006C65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0D6F60F" w:rsidRPr="006C659B" w14:paraId="6FB109C5" w14:textId="77777777" w:rsidTr="50D6F60F">
      <w:trPr>
        <w:trHeight w:val="300"/>
      </w:trPr>
      <w:tc>
        <w:tcPr>
          <w:tcW w:w="3120" w:type="dxa"/>
        </w:tcPr>
        <w:p w14:paraId="6DA0C2D4" w14:textId="3F4C7785" w:rsidR="50D6F60F" w:rsidRPr="006C659B" w:rsidRDefault="50D6F60F" w:rsidP="50D6F60F">
          <w:pPr>
            <w:pStyle w:val="Header"/>
            <w:ind w:left="-115"/>
          </w:pPr>
        </w:p>
      </w:tc>
      <w:tc>
        <w:tcPr>
          <w:tcW w:w="3120" w:type="dxa"/>
        </w:tcPr>
        <w:p w14:paraId="68215351" w14:textId="38CE653E" w:rsidR="50D6F60F" w:rsidRPr="006C659B" w:rsidRDefault="50D6F60F" w:rsidP="50D6F60F">
          <w:pPr>
            <w:pStyle w:val="Header"/>
            <w:jc w:val="center"/>
          </w:pPr>
        </w:p>
      </w:tc>
      <w:tc>
        <w:tcPr>
          <w:tcW w:w="3120" w:type="dxa"/>
        </w:tcPr>
        <w:p w14:paraId="61FC1DCA" w14:textId="6734EC6D" w:rsidR="50D6F60F" w:rsidRPr="006C659B" w:rsidRDefault="50D6F60F" w:rsidP="50D6F60F">
          <w:pPr>
            <w:pStyle w:val="Header"/>
            <w:ind w:right="-115"/>
            <w:jc w:val="right"/>
          </w:pPr>
        </w:p>
      </w:tc>
    </w:tr>
  </w:tbl>
  <w:p w14:paraId="11ED6BF7" w14:textId="5244A38D" w:rsidR="50D6F60F" w:rsidRPr="006C659B" w:rsidRDefault="50D6F60F" w:rsidP="50D6F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EE199" w14:textId="77777777" w:rsidR="00251A0A" w:rsidRPr="006C659B" w:rsidRDefault="00251A0A">
      <w:pPr>
        <w:spacing w:after="0" w:line="240" w:lineRule="auto"/>
      </w:pPr>
      <w:r w:rsidRPr="006C659B">
        <w:separator/>
      </w:r>
    </w:p>
  </w:footnote>
  <w:footnote w:type="continuationSeparator" w:id="0">
    <w:p w14:paraId="78D3BCCF" w14:textId="77777777" w:rsidR="00251A0A" w:rsidRPr="006C659B" w:rsidRDefault="00251A0A">
      <w:pPr>
        <w:spacing w:after="0" w:line="240" w:lineRule="auto"/>
      </w:pPr>
      <w:r w:rsidRPr="006C65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0D6F60F" w:rsidRPr="006C659B" w14:paraId="581AE089" w14:textId="77777777" w:rsidTr="50D6F60F">
      <w:trPr>
        <w:trHeight w:val="300"/>
      </w:trPr>
      <w:tc>
        <w:tcPr>
          <w:tcW w:w="3120" w:type="dxa"/>
        </w:tcPr>
        <w:p w14:paraId="32F433B8" w14:textId="7C905DB0" w:rsidR="50D6F60F" w:rsidRPr="006C659B" w:rsidRDefault="50D6F60F" w:rsidP="50D6F60F">
          <w:pPr>
            <w:pStyle w:val="Header"/>
            <w:ind w:left="-115"/>
          </w:pPr>
        </w:p>
      </w:tc>
      <w:tc>
        <w:tcPr>
          <w:tcW w:w="3120" w:type="dxa"/>
        </w:tcPr>
        <w:p w14:paraId="02DB5F13" w14:textId="625AD250" w:rsidR="50D6F60F" w:rsidRPr="006C659B" w:rsidRDefault="50D6F60F" w:rsidP="50D6F60F">
          <w:pPr>
            <w:pStyle w:val="Header"/>
            <w:jc w:val="center"/>
          </w:pPr>
        </w:p>
      </w:tc>
      <w:tc>
        <w:tcPr>
          <w:tcW w:w="3120" w:type="dxa"/>
        </w:tcPr>
        <w:p w14:paraId="0B9325EE" w14:textId="067A8B51" w:rsidR="50D6F60F" w:rsidRPr="006C659B" w:rsidRDefault="50D6F60F" w:rsidP="50D6F60F">
          <w:pPr>
            <w:pStyle w:val="Header"/>
            <w:ind w:right="-115"/>
            <w:jc w:val="right"/>
          </w:pPr>
        </w:p>
      </w:tc>
    </w:tr>
  </w:tbl>
  <w:p w14:paraId="6C95F866" w14:textId="5D3C9A4C" w:rsidR="50D6F60F" w:rsidRPr="006C659B" w:rsidRDefault="50D6F60F" w:rsidP="50D6F6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E4AC" w14:textId="3A4376C2" w:rsidR="00276D78" w:rsidRDefault="00ED380B">
    <w:pPr>
      <w:pStyle w:val="Header"/>
    </w:pPr>
    <w:r>
      <w:rPr>
        <w:noProof/>
      </w:rPr>
      <w:drawing>
        <wp:anchor distT="0" distB="0" distL="114300" distR="114300" simplePos="0" relativeHeight="251661312" behindDoc="1" locked="0" layoutInCell="1" allowOverlap="1" wp14:anchorId="492FCC90" wp14:editId="7EA48B73">
          <wp:simplePos x="0" y="0"/>
          <wp:positionH relativeFrom="page">
            <wp:align>right</wp:align>
          </wp:positionH>
          <wp:positionV relativeFrom="paragraph">
            <wp:posOffset>-457122</wp:posOffset>
          </wp:positionV>
          <wp:extent cx="7772400" cy="1292860"/>
          <wp:effectExtent l="0" t="0" r="0" b="2540"/>
          <wp:wrapTight wrapText="bothSides">
            <wp:wrapPolygon edited="0">
              <wp:start x="0" y="0"/>
              <wp:lineTo x="0" y="21324"/>
              <wp:lineTo x="21547" y="21324"/>
              <wp:lineTo x="21547" y="0"/>
              <wp:lineTo x="0" y="0"/>
            </wp:wrapPolygon>
          </wp:wrapTight>
          <wp:docPr id="52858821" name="Picture 1" descr="A header image with the Public Service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8821" name="Picture 1" descr="A header image with the Public Service Commission logo"/>
                  <pic:cNvPicPr/>
                </pic:nvPicPr>
                <pic:blipFill>
                  <a:blip r:embed="rId1">
                    <a:extLst>
                      <a:ext uri="{28A0092B-C50C-407E-A947-70E740481C1C}">
                        <a14:useLocalDpi xmlns:a14="http://schemas.microsoft.com/office/drawing/2010/main" val="0"/>
                      </a:ext>
                    </a:extLst>
                  </a:blip>
                  <a:stretch>
                    <a:fillRect/>
                  </a:stretch>
                </pic:blipFill>
                <pic:spPr>
                  <a:xfrm>
                    <a:off x="0" y="0"/>
                    <a:ext cx="7772400" cy="12928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7E4"/>
    <w:multiLevelType w:val="hybridMultilevel"/>
    <w:tmpl w:val="AD40F5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DA36870"/>
    <w:multiLevelType w:val="hybridMultilevel"/>
    <w:tmpl w:val="BF8AB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F69702"/>
    <w:multiLevelType w:val="hybridMultilevel"/>
    <w:tmpl w:val="936ABCBC"/>
    <w:lvl w:ilvl="0" w:tplc="1C6CC710">
      <w:start w:val="1"/>
      <w:numFmt w:val="bullet"/>
      <w:lvlText w:val="·"/>
      <w:lvlJc w:val="left"/>
      <w:pPr>
        <w:ind w:left="720" w:hanging="360"/>
      </w:pPr>
      <w:rPr>
        <w:rFonts w:ascii="Symbol" w:hAnsi="Symbol" w:hint="default"/>
      </w:rPr>
    </w:lvl>
    <w:lvl w:ilvl="1" w:tplc="60AC1298">
      <w:start w:val="1"/>
      <w:numFmt w:val="bullet"/>
      <w:lvlText w:val="o"/>
      <w:lvlJc w:val="left"/>
      <w:pPr>
        <w:ind w:left="1440" w:hanging="360"/>
      </w:pPr>
      <w:rPr>
        <w:rFonts w:ascii="Courier New" w:hAnsi="Courier New" w:hint="default"/>
      </w:rPr>
    </w:lvl>
    <w:lvl w:ilvl="2" w:tplc="CB46E7CA">
      <w:start w:val="1"/>
      <w:numFmt w:val="bullet"/>
      <w:lvlText w:val=""/>
      <w:lvlJc w:val="left"/>
      <w:pPr>
        <w:ind w:left="2160" w:hanging="360"/>
      </w:pPr>
      <w:rPr>
        <w:rFonts w:ascii="Wingdings" w:hAnsi="Wingdings" w:hint="default"/>
      </w:rPr>
    </w:lvl>
    <w:lvl w:ilvl="3" w:tplc="BE264834">
      <w:start w:val="1"/>
      <w:numFmt w:val="bullet"/>
      <w:lvlText w:val=""/>
      <w:lvlJc w:val="left"/>
      <w:pPr>
        <w:ind w:left="2880" w:hanging="360"/>
      </w:pPr>
      <w:rPr>
        <w:rFonts w:ascii="Symbol" w:hAnsi="Symbol" w:hint="default"/>
      </w:rPr>
    </w:lvl>
    <w:lvl w:ilvl="4" w:tplc="676AB5D6">
      <w:start w:val="1"/>
      <w:numFmt w:val="bullet"/>
      <w:lvlText w:val="o"/>
      <w:lvlJc w:val="left"/>
      <w:pPr>
        <w:ind w:left="3600" w:hanging="360"/>
      </w:pPr>
      <w:rPr>
        <w:rFonts w:ascii="Courier New" w:hAnsi="Courier New" w:hint="default"/>
      </w:rPr>
    </w:lvl>
    <w:lvl w:ilvl="5" w:tplc="4E4C32F4">
      <w:start w:val="1"/>
      <w:numFmt w:val="bullet"/>
      <w:lvlText w:val=""/>
      <w:lvlJc w:val="left"/>
      <w:pPr>
        <w:ind w:left="4320" w:hanging="360"/>
      </w:pPr>
      <w:rPr>
        <w:rFonts w:ascii="Wingdings" w:hAnsi="Wingdings" w:hint="default"/>
      </w:rPr>
    </w:lvl>
    <w:lvl w:ilvl="6" w:tplc="340289F6">
      <w:start w:val="1"/>
      <w:numFmt w:val="bullet"/>
      <w:lvlText w:val=""/>
      <w:lvlJc w:val="left"/>
      <w:pPr>
        <w:ind w:left="5040" w:hanging="360"/>
      </w:pPr>
      <w:rPr>
        <w:rFonts w:ascii="Symbol" w:hAnsi="Symbol" w:hint="default"/>
      </w:rPr>
    </w:lvl>
    <w:lvl w:ilvl="7" w:tplc="08A289A6">
      <w:start w:val="1"/>
      <w:numFmt w:val="bullet"/>
      <w:lvlText w:val="o"/>
      <w:lvlJc w:val="left"/>
      <w:pPr>
        <w:ind w:left="5760" w:hanging="360"/>
      </w:pPr>
      <w:rPr>
        <w:rFonts w:ascii="Courier New" w:hAnsi="Courier New" w:hint="default"/>
      </w:rPr>
    </w:lvl>
    <w:lvl w:ilvl="8" w:tplc="46E650F4">
      <w:start w:val="1"/>
      <w:numFmt w:val="bullet"/>
      <w:lvlText w:val=""/>
      <w:lvlJc w:val="left"/>
      <w:pPr>
        <w:ind w:left="6480" w:hanging="360"/>
      </w:pPr>
      <w:rPr>
        <w:rFonts w:ascii="Wingdings" w:hAnsi="Wingdings" w:hint="default"/>
      </w:rPr>
    </w:lvl>
  </w:abstractNum>
  <w:abstractNum w:abstractNumId="3" w15:restartNumberingAfterBreak="0">
    <w:nsid w:val="19A62B0A"/>
    <w:multiLevelType w:val="hybridMultilevel"/>
    <w:tmpl w:val="8F0433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EEF6B2E"/>
    <w:multiLevelType w:val="hybridMultilevel"/>
    <w:tmpl w:val="0C5C6C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D9B4EC3"/>
    <w:multiLevelType w:val="hybridMultilevel"/>
    <w:tmpl w:val="CC6E1C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389034A2"/>
    <w:multiLevelType w:val="hybridMultilevel"/>
    <w:tmpl w:val="BE94A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9EB200A"/>
    <w:multiLevelType w:val="hybridMultilevel"/>
    <w:tmpl w:val="CCE64046"/>
    <w:lvl w:ilvl="0" w:tplc="14090001">
      <w:start w:val="1"/>
      <w:numFmt w:val="bullet"/>
      <w:lvlText w:val=""/>
      <w:lvlJc w:val="left"/>
      <w:pPr>
        <w:ind w:left="815" w:hanging="360"/>
      </w:pPr>
      <w:rPr>
        <w:rFonts w:ascii="Symbol" w:hAnsi="Symbol" w:hint="default"/>
      </w:rPr>
    </w:lvl>
    <w:lvl w:ilvl="1" w:tplc="14090003" w:tentative="1">
      <w:start w:val="1"/>
      <w:numFmt w:val="bullet"/>
      <w:lvlText w:val="o"/>
      <w:lvlJc w:val="left"/>
      <w:pPr>
        <w:ind w:left="1535" w:hanging="360"/>
      </w:pPr>
      <w:rPr>
        <w:rFonts w:ascii="Courier New" w:hAnsi="Courier New" w:cs="Courier New" w:hint="default"/>
      </w:rPr>
    </w:lvl>
    <w:lvl w:ilvl="2" w:tplc="14090005" w:tentative="1">
      <w:start w:val="1"/>
      <w:numFmt w:val="bullet"/>
      <w:lvlText w:val=""/>
      <w:lvlJc w:val="left"/>
      <w:pPr>
        <w:ind w:left="2255" w:hanging="360"/>
      </w:pPr>
      <w:rPr>
        <w:rFonts w:ascii="Wingdings" w:hAnsi="Wingdings" w:hint="default"/>
      </w:rPr>
    </w:lvl>
    <w:lvl w:ilvl="3" w:tplc="14090001" w:tentative="1">
      <w:start w:val="1"/>
      <w:numFmt w:val="bullet"/>
      <w:lvlText w:val=""/>
      <w:lvlJc w:val="left"/>
      <w:pPr>
        <w:ind w:left="2975" w:hanging="360"/>
      </w:pPr>
      <w:rPr>
        <w:rFonts w:ascii="Symbol" w:hAnsi="Symbol" w:hint="default"/>
      </w:rPr>
    </w:lvl>
    <w:lvl w:ilvl="4" w:tplc="14090003" w:tentative="1">
      <w:start w:val="1"/>
      <w:numFmt w:val="bullet"/>
      <w:lvlText w:val="o"/>
      <w:lvlJc w:val="left"/>
      <w:pPr>
        <w:ind w:left="3695" w:hanging="360"/>
      </w:pPr>
      <w:rPr>
        <w:rFonts w:ascii="Courier New" w:hAnsi="Courier New" w:cs="Courier New" w:hint="default"/>
      </w:rPr>
    </w:lvl>
    <w:lvl w:ilvl="5" w:tplc="14090005" w:tentative="1">
      <w:start w:val="1"/>
      <w:numFmt w:val="bullet"/>
      <w:lvlText w:val=""/>
      <w:lvlJc w:val="left"/>
      <w:pPr>
        <w:ind w:left="4415" w:hanging="360"/>
      </w:pPr>
      <w:rPr>
        <w:rFonts w:ascii="Wingdings" w:hAnsi="Wingdings" w:hint="default"/>
      </w:rPr>
    </w:lvl>
    <w:lvl w:ilvl="6" w:tplc="14090001" w:tentative="1">
      <w:start w:val="1"/>
      <w:numFmt w:val="bullet"/>
      <w:lvlText w:val=""/>
      <w:lvlJc w:val="left"/>
      <w:pPr>
        <w:ind w:left="5135" w:hanging="360"/>
      </w:pPr>
      <w:rPr>
        <w:rFonts w:ascii="Symbol" w:hAnsi="Symbol" w:hint="default"/>
      </w:rPr>
    </w:lvl>
    <w:lvl w:ilvl="7" w:tplc="14090003" w:tentative="1">
      <w:start w:val="1"/>
      <w:numFmt w:val="bullet"/>
      <w:lvlText w:val="o"/>
      <w:lvlJc w:val="left"/>
      <w:pPr>
        <w:ind w:left="5855" w:hanging="360"/>
      </w:pPr>
      <w:rPr>
        <w:rFonts w:ascii="Courier New" w:hAnsi="Courier New" w:cs="Courier New" w:hint="default"/>
      </w:rPr>
    </w:lvl>
    <w:lvl w:ilvl="8" w:tplc="14090005" w:tentative="1">
      <w:start w:val="1"/>
      <w:numFmt w:val="bullet"/>
      <w:lvlText w:val=""/>
      <w:lvlJc w:val="left"/>
      <w:pPr>
        <w:ind w:left="6575" w:hanging="360"/>
      </w:pPr>
      <w:rPr>
        <w:rFonts w:ascii="Wingdings" w:hAnsi="Wingdings" w:hint="default"/>
      </w:rPr>
    </w:lvl>
  </w:abstractNum>
  <w:abstractNum w:abstractNumId="8" w15:restartNumberingAfterBreak="0">
    <w:nsid w:val="4CB45428"/>
    <w:multiLevelType w:val="hybridMultilevel"/>
    <w:tmpl w:val="B950B4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CB86A3D"/>
    <w:multiLevelType w:val="hybridMultilevel"/>
    <w:tmpl w:val="D9B22D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E283A67"/>
    <w:multiLevelType w:val="hybridMultilevel"/>
    <w:tmpl w:val="5224987C"/>
    <w:lvl w:ilvl="0" w:tplc="5F22F29E">
      <w:start w:val="1"/>
      <w:numFmt w:val="bullet"/>
      <w:lvlText w:val=""/>
      <w:lvlJc w:val="left"/>
      <w:pPr>
        <w:ind w:left="720" w:hanging="360"/>
      </w:pPr>
      <w:rPr>
        <w:rFonts w:ascii="Symbol" w:hAnsi="Symbol" w:hint="default"/>
      </w:rPr>
    </w:lvl>
    <w:lvl w:ilvl="1" w:tplc="23A4D322">
      <w:start w:val="1"/>
      <w:numFmt w:val="bullet"/>
      <w:lvlText w:val="o"/>
      <w:lvlJc w:val="left"/>
      <w:pPr>
        <w:ind w:left="1440" w:hanging="360"/>
      </w:pPr>
      <w:rPr>
        <w:rFonts w:ascii="Courier New" w:hAnsi="Courier New" w:hint="default"/>
      </w:rPr>
    </w:lvl>
    <w:lvl w:ilvl="2" w:tplc="80329AD8">
      <w:start w:val="1"/>
      <w:numFmt w:val="bullet"/>
      <w:lvlText w:val=""/>
      <w:lvlJc w:val="left"/>
      <w:pPr>
        <w:ind w:left="2160" w:hanging="360"/>
      </w:pPr>
      <w:rPr>
        <w:rFonts w:ascii="Wingdings" w:hAnsi="Wingdings" w:hint="default"/>
      </w:rPr>
    </w:lvl>
    <w:lvl w:ilvl="3" w:tplc="D1B48460">
      <w:start w:val="1"/>
      <w:numFmt w:val="bullet"/>
      <w:lvlText w:val=""/>
      <w:lvlJc w:val="left"/>
      <w:pPr>
        <w:ind w:left="2880" w:hanging="360"/>
      </w:pPr>
      <w:rPr>
        <w:rFonts w:ascii="Symbol" w:hAnsi="Symbol" w:hint="default"/>
      </w:rPr>
    </w:lvl>
    <w:lvl w:ilvl="4" w:tplc="C6D0AFB6">
      <w:start w:val="1"/>
      <w:numFmt w:val="bullet"/>
      <w:lvlText w:val="o"/>
      <w:lvlJc w:val="left"/>
      <w:pPr>
        <w:ind w:left="3600" w:hanging="360"/>
      </w:pPr>
      <w:rPr>
        <w:rFonts w:ascii="Courier New" w:hAnsi="Courier New" w:hint="default"/>
      </w:rPr>
    </w:lvl>
    <w:lvl w:ilvl="5" w:tplc="5E88F29C">
      <w:start w:val="1"/>
      <w:numFmt w:val="bullet"/>
      <w:lvlText w:val=""/>
      <w:lvlJc w:val="left"/>
      <w:pPr>
        <w:ind w:left="4320" w:hanging="360"/>
      </w:pPr>
      <w:rPr>
        <w:rFonts w:ascii="Wingdings" w:hAnsi="Wingdings" w:hint="default"/>
      </w:rPr>
    </w:lvl>
    <w:lvl w:ilvl="6" w:tplc="CCA0B134">
      <w:start w:val="1"/>
      <w:numFmt w:val="bullet"/>
      <w:lvlText w:val=""/>
      <w:lvlJc w:val="left"/>
      <w:pPr>
        <w:ind w:left="5040" w:hanging="360"/>
      </w:pPr>
      <w:rPr>
        <w:rFonts w:ascii="Symbol" w:hAnsi="Symbol" w:hint="default"/>
      </w:rPr>
    </w:lvl>
    <w:lvl w:ilvl="7" w:tplc="B00EABEA">
      <w:start w:val="1"/>
      <w:numFmt w:val="bullet"/>
      <w:lvlText w:val="o"/>
      <w:lvlJc w:val="left"/>
      <w:pPr>
        <w:ind w:left="5760" w:hanging="360"/>
      </w:pPr>
      <w:rPr>
        <w:rFonts w:ascii="Courier New" w:hAnsi="Courier New" w:hint="default"/>
      </w:rPr>
    </w:lvl>
    <w:lvl w:ilvl="8" w:tplc="E0C0C954">
      <w:start w:val="1"/>
      <w:numFmt w:val="bullet"/>
      <w:lvlText w:val=""/>
      <w:lvlJc w:val="left"/>
      <w:pPr>
        <w:ind w:left="6480" w:hanging="360"/>
      </w:pPr>
      <w:rPr>
        <w:rFonts w:ascii="Wingdings" w:hAnsi="Wingdings" w:hint="default"/>
      </w:rPr>
    </w:lvl>
  </w:abstractNum>
  <w:abstractNum w:abstractNumId="11" w15:restartNumberingAfterBreak="0">
    <w:nsid w:val="5082527B"/>
    <w:multiLevelType w:val="hybridMultilevel"/>
    <w:tmpl w:val="E7B0EE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0D25ED7"/>
    <w:multiLevelType w:val="hybridMultilevel"/>
    <w:tmpl w:val="2F9280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71170FB"/>
    <w:multiLevelType w:val="hybridMultilevel"/>
    <w:tmpl w:val="1C9E46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A7505C3"/>
    <w:multiLevelType w:val="hybridMultilevel"/>
    <w:tmpl w:val="7994B1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FB72D7A"/>
    <w:multiLevelType w:val="hybridMultilevel"/>
    <w:tmpl w:val="CC3A61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47350EC"/>
    <w:multiLevelType w:val="hybridMultilevel"/>
    <w:tmpl w:val="7C58DF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9772749"/>
    <w:multiLevelType w:val="hybridMultilevel"/>
    <w:tmpl w:val="B712DB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84691715">
    <w:abstractNumId w:val="10"/>
  </w:num>
  <w:num w:numId="2" w16cid:durableId="1723670403">
    <w:abstractNumId w:val="3"/>
  </w:num>
  <w:num w:numId="3" w16cid:durableId="2085108323">
    <w:abstractNumId w:val="7"/>
  </w:num>
  <w:num w:numId="4" w16cid:durableId="1194461998">
    <w:abstractNumId w:val="0"/>
  </w:num>
  <w:num w:numId="5" w16cid:durableId="412899111">
    <w:abstractNumId w:val="6"/>
  </w:num>
  <w:num w:numId="6" w16cid:durableId="346297083">
    <w:abstractNumId w:val="11"/>
  </w:num>
  <w:num w:numId="7" w16cid:durableId="919677443">
    <w:abstractNumId w:val="17"/>
  </w:num>
  <w:num w:numId="8" w16cid:durableId="137496128">
    <w:abstractNumId w:val="16"/>
  </w:num>
  <w:num w:numId="9" w16cid:durableId="958074767">
    <w:abstractNumId w:val="1"/>
  </w:num>
  <w:num w:numId="10" w16cid:durableId="522674636">
    <w:abstractNumId w:val="4"/>
  </w:num>
  <w:num w:numId="11" w16cid:durableId="1255550763">
    <w:abstractNumId w:val="2"/>
  </w:num>
  <w:num w:numId="12" w16cid:durableId="1313948675">
    <w:abstractNumId w:val="14"/>
  </w:num>
  <w:num w:numId="13" w16cid:durableId="1386023424">
    <w:abstractNumId w:val="12"/>
  </w:num>
  <w:num w:numId="14" w16cid:durableId="49765352">
    <w:abstractNumId w:val="5"/>
  </w:num>
  <w:num w:numId="15" w16cid:durableId="696388076">
    <w:abstractNumId w:val="13"/>
  </w:num>
  <w:num w:numId="16" w16cid:durableId="764612220">
    <w:abstractNumId w:val="15"/>
  </w:num>
  <w:num w:numId="17" w16cid:durableId="766003636">
    <w:abstractNumId w:val="8"/>
  </w:num>
  <w:num w:numId="18" w16cid:durableId="7987676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E6206A"/>
    <w:rsid w:val="00012661"/>
    <w:rsid w:val="00023B0B"/>
    <w:rsid w:val="0002798B"/>
    <w:rsid w:val="0004218F"/>
    <w:rsid w:val="00043E6A"/>
    <w:rsid w:val="00056393"/>
    <w:rsid w:val="00060147"/>
    <w:rsid w:val="0008359F"/>
    <w:rsid w:val="000A2D58"/>
    <w:rsid w:val="000C227C"/>
    <w:rsid w:val="000D62BF"/>
    <w:rsid w:val="000E3437"/>
    <w:rsid w:val="000E374D"/>
    <w:rsid w:val="000F6284"/>
    <w:rsid w:val="00127AE0"/>
    <w:rsid w:val="001302F5"/>
    <w:rsid w:val="0013612B"/>
    <w:rsid w:val="00144BFA"/>
    <w:rsid w:val="001500D9"/>
    <w:rsid w:val="00172E16"/>
    <w:rsid w:val="001B6F08"/>
    <w:rsid w:val="001D1C7B"/>
    <w:rsid w:val="001D71DF"/>
    <w:rsid w:val="001E6EB6"/>
    <w:rsid w:val="001F3362"/>
    <w:rsid w:val="002044A4"/>
    <w:rsid w:val="00227329"/>
    <w:rsid w:val="002278B6"/>
    <w:rsid w:val="002427DA"/>
    <w:rsid w:val="00244FDB"/>
    <w:rsid w:val="00251A0A"/>
    <w:rsid w:val="00265162"/>
    <w:rsid w:val="00270793"/>
    <w:rsid w:val="00276D78"/>
    <w:rsid w:val="002A30A9"/>
    <w:rsid w:val="002B71E7"/>
    <w:rsid w:val="003105F5"/>
    <w:rsid w:val="00331DA8"/>
    <w:rsid w:val="003373D5"/>
    <w:rsid w:val="003433DB"/>
    <w:rsid w:val="00353E2D"/>
    <w:rsid w:val="00356C47"/>
    <w:rsid w:val="00372D1C"/>
    <w:rsid w:val="00376082"/>
    <w:rsid w:val="003778D8"/>
    <w:rsid w:val="0038563E"/>
    <w:rsid w:val="0039106B"/>
    <w:rsid w:val="00391CBE"/>
    <w:rsid w:val="003A5ABC"/>
    <w:rsid w:val="003A6128"/>
    <w:rsid w:val="003C157F"/>
    <w:rsid w:val="003D0EC9"/>
    <w:rsid w:val="003D7748"/>
    <w:rsid w:val="00414C01"/>
    <w:rsid w:val="00414C33"/>
    <w:rsid w:val="004272F3"/>
    <w:rsid w:val="004407F2"/>
    <w:rsid w:val="00455859"/>
    <w:rsid w:val="00463191"/>
    <w:rsid w:val="004730B6"/>
    <w:rsid w:val="00501346"/>
    <w:rsid w:val="00524613"/>
    <w:rsid w:val="0055281E"/>
    <w:rsid w:val="005618E4"/>
    <w:rsid w:val="00565C4C"/>
    <w:rsid w:val="0056728B"/>
    <w:rsid w:val="0058589C"/>
    <w:rsid w:val="00591912"/>
    <w:rsid w:val="005937F3"/>
    <w:rsid w:val="005B36D4"/>
    <w:rsid w:val="005E07E2"/>
    <w:rsid w:val="005E572E"/>
    <w:rsid w:val="005F0C55"/>
    <w:rsid w:val="006030FC"/>
    <w:rsid w:val="006102B5"/>
    <w:rsid w:val="00622C48"/>
    <w:rsid w:val="00640A25"/>
    <w:rsid w:val="0064371C"/>
    <w:rsid w:val="006628BA"/>
    <w:rsid w:val="00665C99"/>
    <w:rsid w:val="00666AA2"/>
    <w:rsid w:val="006813C4"/>
    <w:rsid w:val="00681FCE"/>
    <w:rsid w:val="0069524C"/>
    <w:rsid w:val="0069594F"/>
    <w:rsid w:val="006A0AEE"/>
    <w:rsid w:val="006A3978"/>
    <w:rsid w:val="006A4FB4"/>
    <w:rsid w:val="006B2DF1"/>
    <w:rsid w:val="006B489C"/>
    <w:rsid w:val="006C659B"/>
    <w:rsid w:val="006D128F"/>
    <w:rsid w:val="0073277F"/>
    <w:rsid w:val="007A7211"/>
    <w:rsid w:val="007A7963"/>
    <w:rsid w:val="007F16BA"/>
    <w:rsid w:val="007F2629"/>
    <w:rsid w:val="00803402"/>
    <w:rsid w:val="00807A0B"/>
    <w:rsid w:val="00820268"/>
    <w:rsid w:val="0082268A"/>
    <w:rsid w:val="00846961"/>
    <w:rsid w:val="0085159F"/>
    <w:rsid w:val="00855728"/>
    <w:rsid w:val="00864244"/>
    <w:rsid w:val="00867B21"/>
    <w:rsid w:val="0087348E"/>
    <w:rsid w:val="00875453"/>
    <w:rsid w:val="0088597E"/>
    <w:rsid w:val="00893321"/>
    <w:rsid w:val="008A5F66"/>
    <w:rsid w:val="008B5C58"/>
    <w:rsid w:val="008B650A"/>
    <w:rsid w:val="008E0406"/>
    <w:rsid w:val="008E1615"/>
    <w:rsid w:val="008E320B"/>
    <w:rsid w:val="008F57AC"/>
    <w:rsid w:val="008F7351"/>
    <w:rsid w:val="00901D46"/>
    <w:rsid w:val="00904AB3"/>
    <w:rsid w:val="009149FA"/>
    <w:rsid w:val="00922864"/>
    <w:rsid w:val="009607A1"/>
    <w:rsid w:val="00992F29"/>
    <w:rsid w:val="00996223"/>
    <w:rsid w:val="00997120"/>
    <w:rsid w:val="009B1145"/>
    <w:rsid w:val="009B1AF5"/>
    <w:rsid w:val="009B4B82"/>
    <w:rsid w:val="009E167A"/>
    <w:rsid w:val="009F0E99"/>
    <w:rsid w:val="00A106FF"/>
    <w:rsid w:val="00A20581"/>
    <w:rsid w:val="00A2290F"/>
    <w:rsid w:val="00A32A3D"/>
    <w:rsid w:val="00A36518"/>
    <w:rsid w:val="00A37B32"/>
    <w:rsid w:val="00A53BD4"/>
    <w:rsid w:val="00AB669D"/>
    <w:rsid w:val="00AC4FAB"/>
    <w:rsid w:val="00AC7D55"/>
    <w:rsid w:val="00AD1EF3"/>
    <w:rsid w:val="00AF7848"/>
    <w:rsid w:val="00B06A6F"/>
    <w:rsid w:val="00B077AD"/>
    <w:rsid w:val="00B10416"/>
    <w:rsid w:val="00B12329"/>
    <w:rsid w:val="00B23237"/>
    <w:rsid w:val="00B24143"/>
    <w:rsid w:val="00B5102C"/>
    <w:rsid w:val="00B56EC1"/>
    <w:rsid w:val="00B62E18"/>
    <w:rsid w:val="00B818D2"/>
    <w:rsid w:val="00B81AC5"/>
    <w:rsid w:val="00B97644"/>
    <w:rsid w:val="00B97891"/>
    <w:rsid w:val="00B97DF7"/>
    <w:rsid w:val="00BA2DCB"/>
    <w:rsid w:val="00BA4E07"/>
    <w:rsid w:val="00BA7AE3"/>
    <w:rsid w:val="00BB50D1"/>
    <w:rsid w:val="00BD0B2C"/>
    <w:rsid w:val="00BD7D34"/>
    <w:rsid w:val="00BE0FCC"/>
    <w:rsid w:val="00BE22E6"/>
    <w:rsid w:val="00BE2501"/>
    <w:rsid w:val="00BF33A6"/>
    <w:rsid w:val="00BF67D2"/>
    <w:rsid w:val="00C03FC7"/>
    <w:rsid w:val="00C06B39"/>
    <w:rsid w:val="00C12D70"/>
    <w:rsid w:val="00C43B29"/>
    <w:rsid w:val="00C47B8F"/>
    <w:rsid w:val="00C73582"/>
    <w:rsid w:val="00C74551"/>
    <w:rsid w:val="00C9622D"/>
    <w:rsid w:val="00C974CF"/>
    <w:rsid w:val="00CA0AA8"/>
    <w:rsid w:val="00CA2D74"/>
    <w:rsid w:val="00CA4BF2"/>
    <w:rsid w:val="00CA74E7"/>
    <w:rsid w:val="00CC611E"/>
    <w:rsid w:val="00CD0D7C"/>
    <w:rsid w:val="00CE39CF"/>
    <w:rsid w:val="00CE4606"/>
    <w:rsid w:val="00CE7A8F"/>
    <w:rsid w:val="00CF0658"/>
    <w:rsid w:val="00D10D33"/>
    <w:rsid w:val="00D27631"/>
    <w:rsid w:val="00D365E1"/>
    <w:rsid w:val="00D47265"/>
    <w:rsid w:val="00D650E9"/>
    <w:rsid w:val="00D8400B"/>
    <w:rsid w:val="00D95C38"/>
    <w:rsid w:val="00DD3781"/>
    <w:rsid w:val="00DD41CD"/>
    <w:rsid w:val="00DE2E8C"/>
    <w:rsid w:val="00DF4AB5"/>
    <w:rsid w:val="00E02DE6"/>
    <w:rsid w:val="00E073A6"/>
    <w:rsid w:val="00E31288"/>
    <w:rsid w:val="00E543CA"/>
    <w:rsid w:val="00E5691C"/>
    <w:rsid w:val="00E56B9C"/>
    <w:rsid w:val="00E6330E"/>
    <w:rsid w:val="00E76C5B"/>
    <w:rsid w:val="00E83094"/>
    <w:rsid w:val="00E83A10"/>
    <w:rsid w:val="00E909F8"/>
    <w:rsid w:val="00E95435"/>
    <w:rsid w:val="00E974AB"/>
    <w:rsid w:val="00EA04B8"/>
    <w:rsid w:val="00EA5EAD"/>
    <w:rsid w:val="00EA681F"/>
    <w:rsid w:val="00EB261C"/>
    <w:rsid w:val="00ED0AE3"/>
    <w:rsid w:val="00ED380B"/>
    <w:rsid w:val="00EE6D1E"/>
    <w:rsid w:val="00EF6D19"/>
    <w:rsid w:val="00F133CA"/>
    <w:rsid w:val="00F23723"/>
    <w:rsid w:val="00F506C5"/>
    <w:rsid w:val="00F5122B"/>
    <w:rsid w:val="00F571B0"/>
    <w:rsid w:val="00F6139B"/>
    <w:rsid w:val="00F67D0C"/>
    <w:rsid w:val="00F76D18"/>
    <w:rsid w:val="00F86AFD"/>
    <w:rsid w:val="00F96CBF"/>
    <w:rsid w:val="00F9D288"/>
    <w:rsid w:val="00FE766E"/>
    <w:rsid w:val="04E8F0E7"/>
    <w:rsid w:val="061C5672"/>
    <w:rsid w:val="0799FF0C"/>
    <w:rsid w:val="12E1FABF"/>
    <w:rsid w:val="1471F5B8"/>
    <w:rsid w:val="172CD5C5"/>
    <w:rsid w:val="17DADC22"/>
    <w:rsid w:val="1E2E62A8"/>
    <w:rsid w:val="21A5F422"/>
    <w:rsid w:val="220F9B8B"/>
    <w:rsid w:val="250F32D7"/>
    <w:rsid w:val="258198F9"/>
    <w:rsid w:val="26521E22"/>
    <w:rsid w:val="279DA2C2"/>
    <w:rsid w:val="2DD93BDB"/>
    <w:rsid w:val="3AFEBA53"/>
    <w:rsid w:val="3DF1301D"/>
    <w:rsid w:val="4644EC3C"/>
    <w:rsid w:val="4662C844"/>
    <w:rsid w:val="46BF07C5"/>
    <w:rsid w:val="477CA8B6"/>
    <w:rsid w:val="4A73098C"/>
    <w:rsid w:val="4B22ABBB"/>
    <w:rsid w:val="4B686CD9"/>
    <w:rsid w:val="4D11C96A"/>
    <w:rsid w:val="4D3700CB"/>
    <w:rsid w:val="4FC93D59"/>
    <w:rsid w:val="50D6F60F"/>
    <w:rsid w:val="50EFD21E"/>
    <w:rsid w:val="51E6206A"/>
    <w:rsid w:val="5270C443"/>
    <w:rsid w:val="54FF7436"/>
    <w:rsid w:val="56DE57EF"/>
    <w:rsid w:val="5F1FD07C"/>
    <w:rsid w:val="660555AD"/>
    <w:rsid w:val="670ADDC9"/>
    <w:rsid w:val="7830ABB7"/>
    <w:rsid w:val="7844B05C"/>
    <w:rsid w:val="78CCACC6"/>
    <w:rsid w:val="7BF95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CBE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NZ"/>
    </w:rPr>
  </w:style>
  <w:style w:type="paragraph" w:styleId="Heading1">
    <w:name w:val="heading 1"/>
    <w:basedOn w:val="Normal"/>
    <w:next w:val="Normal"/>
    <w:link w:val="Heading1Char"/>
    <w:uiPriority w:val="9"/>
    <w:qFormat/>
    <w:rsid w:val="0069594F"/>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EA04B8"/>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EA04B8"/>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unhideWhenUsed/>
    <w:rsid w:val="50D6F60F"/>
    <w:pPr>
      <w:tabs>
        <w:tab w:val="center" w:pos="4680"/>
        <w:tab w:val="right" w:pos="9360"/>
      </w:tabs>
      <w:spacing w:after="0" w:line="240" w:lineRule="auto"/>
    </w:pPr>
  </w:style>
  <w:style w:type="paragraph" w:styleId="Footer">
    <w:name w:val="footer"/>
    <w:basedOn w:val="Normal"/>
    <w:uiPriority w:val="99"/>
    <w:unhideWhenUsed/>
    <w:rsid w:val="50D6F60F"/>
    <w:pPr>
      <w:tabs>
        <w:tab w:val="center" w:pos="4680"/>
        <w:tab w:val="right" w:pos="9360"/>
      </w:tabs>
      <w:spacing w:after="0" w:line="240" w:lineRule="auto"/>
    </w:pPr>
  </w:style>
  <w:style w:type="paragraph" w:styleId="ListParagraph">
    <w:name w:val="List Paragraph"/>
    <w:basedOn w:val="Normal"/>
    <w:uiPriority w:val="34"/>
    <w:qFormat/>
    <w:rsid w:val="50D6F60F"/>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23237"/>
    <w:rPr>
      <w:sz w:val="16"/>
      <w:szCs w:val="16"/>
    </w:rPr>
  </w:style>
  <w:style w:type="paragraph" w:styleId="CommentText">
    <w:name w:val="annotation text"/>
    <w:basedOn w:val="Normal"/>
    <w:link w:val="CommentTextChar"/>
    <w:uiPriority w:val="99"/>
    <w:unhideWhenUsed/>
    <w:rsid w:val="00B23237"/>
    <w:pPr>
      <w:spacing w:line="240" w:lineRule="auto"/>
    </w:pPr>
    <w:rPr>
      <w:sz w:val="20"/>
      <w:szCs w:val="20"/>
    </w:rPr>
  </w:style>
  <w:style w:type="character" w:customStyle="1" w:styleId="CommentTextChar">
    <w:name w:val="Comment Text Char"/>
    <w:basedOn w:val="DefaultParagraphFont"/>
    <w:link w:val="CommentText"/>
    <w:uiPriority w:val="99"/>
    <w:rsid w:val="00B23237"/>
    <w:rPr>
      <w:sz w:val="20"/>
      <w:szCs w:val="20"/>
      <w:lang w:val="en-NZ"/>
    </w:rPr>
  </w:style>
  <w:style w:type="paragraph" w:styleId="CommentSubject">
    <w:name w:val="annotation subject"/>
    <w:basedOn w:val="CommentText"/>
    <w:next w:val="CommentText"/>
    <w:link w:val="CommentSubjectChar"/>
    <w:uiPriority w:val="99"/>
    <w:semiHidden/>
    <w:unhideWhenUsed/>
    <w:rsid w:val="00B23237"/>
    <w:rPr>
      <w:b/>
      <w:bCs/>
    </w:rPr>
  </w:style>
  <w:style w:type="character" w:customStyle="1" w:styleId="CommentSubjectChar">
    <w:name w:val="Comment Subject Char"/>
    <w:basedOn w:val="CommentTextChar"/>
    <w:link w:val="CommentSubject"/>
    <w:uiPriority w:val="99"/>
    <w:semiHidden/>
    <w:rsid w:val="00B23237"/>
    <w:rPr>
      <w:b/>
      <w:bCs/>
      <w:sz w:val="20"/>
      <w:szCs w:val="20"/>
      <w:lang w:val="en-NZ"/>
    </w:rPr>
  </w:style>
  <w:style w:type="paragraph" w:styleId="Revision">
    <w:name w:val="Revision"/>
    <w:hidden/>
    <w:uiPriority w:val="99"/>
    <w:semiHidden/>
    <w:rsid w:val="00BF67D2"/>
    <w:pPr>
      <w:spacing w:after="0" w:line="240" w:lineRule="auto"/>
    </w:pPr>
    <w:rPr>
      <w:lang w:val="en-NZ"/>
    </w:rPr>
  </w:style>
  <w:style w:type="character" w:customStyle="1" w:styleId="Heading1Char">
    <w:name w:val="Heading 1 Char"/>
    <w:basedOn w:val="DefaultParagraphFont"/>
    <w:link w:val="Heading1"/>
    <w:uiPriority w:val="9"/>
    <w:rsid w:val="0069594F"/>
    <w:rPr>
      <w:rFonts w:asciiTheme="majorHAnsi" w:eastAsiaTheme="majorEastAsia" w:hAnsiTheme="majorHAnsi" w:cstheme="majorBidi"/>
      <w:color w:val="0F4761" w:themeColor="accent1" w:themeShade="BF"/>
      <w:sz w:val="32"/>
      <w:szCs w:val="32"/>
      <w:lang w:val="en-NZ"/>
    </w:rPr>
  </w:style>
  <w:style w:type="character" w:customStyle="1" w:styleId="Heading2Char">
    <w:name w:val="Heading 2 Char"/>
    <w:basedOn w:val="DefaultParagraphFont"/>
    <w:link w:val="Heading2"/>
    <w:uiPriority w:val="9"/>
    <w:semiHidden/>
    <w:rsid w:val="00EA04B8"/>
    <w:rPr>
      <w:rFonts w:asciiTheme="majorHAnsi" w:eastAsiaTheme="majorEastAsia" w:hAnsiTheme="majorHAnsi" w:cstheme="majorBidi"/>
      <w:color w:val="0F4761" w:themeColor="accent1" w:themeShade="BF"/>
      <w:sz w:val="26"/>
      <w:szCs w:val="26"/>
      <w:lang w:val="en-NZ"/>
    </w:rPr>
  </w:style>
  <w:style w:type="character" w:customStyle="1" w:styleId="Heading3Char">
    <w:name w:val="Heading 3 Char"/>
    <w:basedOn w:val="DefaultParagraphFont"/>
    <w:link w:val="Heading3"/>
    <w:uiPriority w:val="9"/>
    <w:semiHidden/>
    <w:rsid w:val="00EA04B8"/>
    <w:rPr>
      <w:rFonts w:asciiTheme="majorHAnsi" w:eastAsiaTheme="majorEastAsia" w:hAnsiTheme="majorHAnsi" w:cstheme="majorBidi"/>
      <w:color w:val="0A2F40" w:themeColor="accent1" w:themeShade="7F"/>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service.govt.nz/system/open-government-partnership/new-zealands-national-action-plans"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3.parliament.nz/media/11939/register-of-pecuniary-and-other-specified-interests-of-members-of-parliament-summary-of-annual-returns-as-at-31-january-2025.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pmc.govt.nz/sites/default/files/2026-03/ministerial-conflicts-of-interest-1jul2025-31dec2025.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ag.parliament.nz/2020/conflicts/docs/conflicts-of-interest.pdf"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publicservice.govt.nz/guidance/model-standards-conflicts-of-interest/conflicts-of-interest-model-standard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A8FB9180A5024498AF533E86DD9A92" ma:contentTypeVersion="20" ma:contentTypeDescription="Create a new document." ma:contentTypeScope="" ma:versionID="26f75a04869a8c1bb5c1e7501fad3a79">
  <xsd:schema xmlns:xsd="http://www.w3.org/2001/XMLSchema" xmlns:xs="http://www.w3.org/2001/XMLSchema" xmlns:p="http://schemas.microsoft.com/office/2006/metadata/properties" xmlns:ns2="063a132e-7922-4f1a-9ebb-16b3e240ff44" xmlns:ns3="d1246d7f-2a1a-4922-8778-42f58cddf623" targetNamespace="http://schemas.microsoft.com/office/2006/metadata/properties" ma:root="true" ma:fieldsID="bf117712cc42035b2925703e7c097989" ns2:_="" ns3:_="">
    <xsd:import namespace="063a132e-7922-4f1a-9ebb-16b3e240ff44"/>
    <xsd:import namespace="d1246d7f-2a1a-4922-8778-42f58cddf62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Link"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a132e-7922-4f1a-9ebb-16b3e240ff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2296d5-8b05-4dab-8fde-c1b189e56efa}" ma:internalName="TaxCatchAll" ma:showField="CatchAllData" ma:web="063a132e-7922-4f1a-9ebb-16b3e240ff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246d7f-2a1a-4922-8778-42f58cddf62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7"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63a132e-7922-4f1a-9ebb-16b3e240ff44">TKMIES-566849700-27925</_dlc_DocId>
    <_dlc_DocIdUrl xmlns="063a132e-7922-4f1a-9ebb-16b3e240ff44">
      <Url>https://sscnz.sharepoint.com/sites/IES-SP/_layouts/15/DocIdRedir.aspx?ID=TKMIES-566849700-27925</Url>
      <Description>TKMIES-566849700-27925</Description>
    </_dlc_DocIdUrl>
    <Link xmlns="d1246d7f-2a1a-4922-8778-42f58cddf623">
      <Url xsi:nil="true"/>
      <Description xsi:nil="true"/>
    </Link>
    <lcf76f155ced4ddcb4097134ff3c332f xmlns="d1246d7f-2a1a-4922-8778-42f58cddf623">
      <Terms xmlns="http://schemas.microsoft.com/office/infopath/2007/PartnerControls"/>
    </lcf76f155ced4ddcb4097134ff3c332f>
    <TaxCatchAll xmlns="063a132e-7922-4f1a-9ebb-16b3e240ff44" xsi:nil="true"/>
  </documentManagement>
</p:properties>
</file>

<file path=customXml/itemProps1.xml><?xml version="1.0" encoding="utf-8"?>
<ds:datastoreItem xmlns:ds="http://schemas.openxmlformats.org/officeDocument/2006/customXml" ds:itemID="{77C69B25-25DA-4C9D-97D0-28D463BB9445}">
  <ds:schemaRefs>
    <ds:schemaRef ds:uri="http://schemas.openxmlformats.org/officeDocument/2006/bibliography"/>
  </ds:schemaRefs>
</ds:datastoreItem>
</file>

<file path=customXml/itemProps2.xml><?xml version="1.0" encoding="utf-8"?>
<ds:datastoreItem xmlns:ds="http://schemas.openxmlformats.org/officeDocument/2006/customXml" ds:itemID="{E4F984AE-97E5-4EBE-8498-A7E1ECF1A2A2}"/>
</file>

<file path=customXml/itemProps3.xml><?xml version="1.0" encoding="utf-8"?>
<ds:datastoreItem xmlns:ds="http://schemas.openxmlformats.org/officeDocument/2006/customXml" ds:itemID="{6EA609DC-166D-49FD-AB6F-6B9F18DAEBEC}"/>
</file>

<file path=customXml/itemProps4.xml><?xml version="1.0" encoding="utf-8"?>
<ds:datastoreItem xmlns:ds="http://schemas.openxmlformats.org/officeDocument/2006/customXml" ds:itemID="{D814CB9B-77E9-47F4-B310-7BCA7F22529B}"/>
</file>

<file path=customXml/itemProps5.xml><?xml version="1.0" encoding="utf-8"?>
<ds:datastoreItem xmlns:ds="http://schemas.openxmlformats.org/officeDocument/2006/customXml" ds:itemID="{C7BF5F82-2C16-4ED1-AB24-0B46190134F2}"/>
</file>

<file path=docProps/app.xml><?xml version="1.0" encoding="utf-8"?>
<Properties xmlns="http://schemas.openxmlformats.org/officeDocument/2006/extended-properties" xmlns:vt="http://schemas.openxmlformats.org/officeDocument/2006/docPropsVTypes">
  <Template>Normal</Template>
  <TotalTime>0</TotalTime>
  <Pages>7</Pages>
  <Words>2001</Words>
  <Characters>11234</Characters>
  <Application>Microsoft Office Word</Application>
  <DocSecurity>0</DocSecurity>
  <Lines>214</Lines>
  <Paragraphs>96</Paragraphs>
  <ScaleCrop>false</ScaleCrop>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2026-06-19T03:37:00Z</dcterms:created>
  <dcterms:modified xsi:type="dcterms:W3CDTF">2026-06-19T03:40:00Z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0x010100FCA8FB9180A5024498AF533E86DD9A92</vt:lpwstr>
  </property>
  <property fmtid="{D5CDD505-2E9C-101B-9397-08002B2CF9AE}" pid="4" name="_dlc_DocIdItemGuid">
    <vt:lpwstr>cc600532-62e9-4a23-9de2-e62b1142aa86</vt:lpwstr>
  </property>
  <property fmtid="{D5CDD505-2E9C-101B-9397-08002B2CF9AE}" pid="5" name="docLang">
    <vt:lpwstr>en</vt:lpwstr>
  </property>
</Properties>
</file>