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2372" w14:textId="28B7BB16" w:rsidR="00AD1225" w:rsidRPr="00013403" w:rsidRDefault="004E3420" w:rsidP="00F319A1">
      <w:pPr>
        <w:pStyle w:val="Heading1"/>
        <w:rPr>
          <w:rFonts w:ascii="Source Sans Pro" w:hAnsi="Source Sans Pro"/>
        </w:rPr>
      </w:pPr>
      <w:r w:rsidRPr="00013403">
        <w:rPr>
          <w:rFonts w:ascii="Source Sans Pro" w:hAnsi="Source Sans Pro"/>
        </w:rPr>
        <w:t xml:space="preserve">New Zealand’s fifth OGP National Action Plan: </w:t>
      </w:r>
      <w:r w:rsidR="00164304" w:rsidRPr="00013403">
        <w:rPr>
          <w:rFonts w:ascii="Source Sans Pro" w:hAnsi="Source Sans Pro"/>
        </w:rPr>
        <w:t>Developing our ideas for Workshop 2</w:t>
      </w:r>
    </w:p>
    <w:p w14:paraId="3661639F" w14:textId="7830731F" w:rsidR="00A66D54" w:rsidRPr="00F40221" w:rsidRDefault="00A66D54" w:rsidP="00A66D54">
      <w:pPr>
        <w:rPr>
          <w:sz w:val="24"/>
          <w:szCs w:val="24"/>
        </w:rPr>
      </w:pPr>
      <w:r w:rsidRPr="00F40221">
        <w:rPr>
          <w:sz w:val="24"/>
          <w:szCs w:val="24"/>
        </w:rPr>
        <w:t>The </w:t>
      </w:r>
      <w:r w:rsidRPr="00F40221">
        <w:rPr>
          <w:b/>
          <w:sz w:val="24"/>
          <w:szCs w:val="24"/>
        </w:rPr>
        <w:t>Public Service Commission</w:t>
      </w:r>
      <w:r w:rsidRPr="00F40221">
        <w:rPr>
          <w:sz w:val="24"/>
          <w:szCs w:val="24"/>
        </w:rPr>
        <w:t> has reviewed the themes and ideas shared during </w:t>
      </w:r>
      <w:r w:rsidRPr="00F40221">
        <w:rPr>
          <w:b/>
          <w:sz w:val="24"/>
          <w:szCs w:val="24"/>
        </w:rPr>
        <w:t>Workshop 1</w:t>
      </w:r>
      <w:r w:rsidRPr="00F40221">
        <w:rPr>
          <w:sz w:val="24"/>
          <w:szCs w:val="24"/>
        </w:rPr>
        <w:t> and identified topics that could be developed further in </w:t>
      </w:r>
      <w:r w:rsidRPr="00F40221">
        <w:rPr>
          <w:b/>
          <w:sz w:val="24"/>
          <w:szCs w:val="24"/>
        </w:rPr>
        <w:t>Workshop 2</w:t>
      </w:r>
      <w:r w:rsidR="0077692B" w:rsidRPr="00F40221">
        <w:rPr>
          <w:b/>
          <w:sz w:val="24"/>
          <w:szCs w:val="24"/>
        </w:rPr>
        <w:t xml:space="preserve"> </w:t>
      </w:r>
      <w:r w:rsidR="0077692B" w:rsidRPr="00F40221">
        <w:rPr>
          <w:sz w:val="24"/>
          <w:szCs w:val="24"/>
        </w:rPr>
        <w:t>on 23 September 2025</w:t>
      </w:r>
      <w:r w:rsidRPr="00F40221">
        <w:rPr>
          <w:sz w:val="24"/>
          <w:szCs w:val="24"/>
        </w:rPr>
        <w:t>.</w:t>
      </w:r>
    </w:p>
    <w:p w14:paraId="0F7B2E9D" w14:textId="105A99D0" w:rsidR="00A66D54" w:rsidRPr="00F40221" w:rsidRDefault="00A66D54" w:rsidP="00A66D54">
      <w:pPr>
        <w:rPr>
          <w:sz w:val="24"/>
          <w:szCs w:val="24"/>
        </w:rPr>
      </w:pPr>
      <w:r w:rsidRPr="00F40221">
        <w:rPr>
          <w:sz w:val="24"/>
          <w:szCs w:val="24"/>
        </w:rPr>
        <w:t>If you have feedback or suggestions on these ideas</w:t>
      </w:r>
      <w:r w:rsidR="00CA7628" w:rsidRPr="00F40221">
        <w:rPr>
          <w:sz w:val="24"/>
          <w:szCs w:val="24"/>
        </w:rPr>
        <w:t xml:space="preserve"> ahead of Workshop 2</w:t>
      </w:r>
      <w:r w:rsidRPr="00F40221">
        <w:rPr>
          <w:sz w:val="24"/>
          <w:szCs w:val="24"/>
        </w:rPr>
        <w:t xml:space="preserve">, please </w:t>
      </w:r>
      <w:r w:rsidR="00CA7628" w:rsidRPr="00F40221">
        <w:rPr>
          <w:sz w:val="24"/>
          <w:szCs w:val="24"/>
        </w:rPr>
        <w:t>contact us at</w:t>
      </w:r>
      <w:r w:rsidRPr="00F40221">
        <w:rPr>
          <w:b/>
          <w:sz w:val="24"/>
          <w:szCs w:val="24"/>
        </w:rPr>
        <w:t>:</w:t>
      </w:r>
      <w:r w:rsidRPr="00F40221">
        <w:rPr>
          <w:sz w:val="24"/>
          <w:szCs w:val="24"/>
        </w:rPr>
        <w:t> </w:t>
      </w:r>
      <w:hyperlink r:id="rId11" w:history="1">
        <w:r w:rsidRPr="00F40221">
          <w:rPr>
            <w:rStyle w:val="Hyperlink"/>
            <w:sz w:val="24"/>
            <w:szCs w:val="24"/>
          </w:rPr>
          <w:t>ogpnz@publicservice.govt.nz</w:t>
        </w:r>
      </w:hyperlink>
      <w:r w:rsidRPr="00F40221">
        <w:rPr>
          <w:sz w:val="24"/>
          <w:szCs w:val="24"/>
        </w:rPr>
        <w:t xml:space="preserve"> </w:t>
      </w:r>
    </w:p>
    <w:p w14:paraId="3ECE0447" w14:textId="3F1F25B3" w:rsidR="000C2639" w:rsidRDefault="000C2639" w:rsidP="000C2639">
      <w:pPr>
        <w:pStyle w:val="Heading3"/>
      </w:pPr>
      <w:r>
        <w:t>Complaints and protected disclosures</w:t>
      </w:r>
    </w:p>
    <w:tbl>
      <w:tblPr>
        <w:tblStyle w:val="TableGrid"/>
        <w:tblW w:w="0" w:type="auto"/>
        <w:tblLook w:val="04A0" w:firstRow="1" w:lastRow="0" w:firstColumn="1" w:lastColumn="0" w:noHBand="0" w:noVBand="1"/>
      </w:tblPr>
      <w:tblGrid>
        <w:gridCol w:w="2830"/>
        <w:gridCol w:w="10120"/>
      </w:tblGrid>
      <w:tr w:rsidR="000C2639" w:rsidRPr="00983D9E" w14:paraId="7128648B" w14:textId="77777777" w:rsidTr="00537EAD">
        <w:tc>
          <w:tcPr>
            <w:tcW w:w="12950" w:type="dxa"/>
            <w:gridSpan w:val="2"/>
            <w:shd w:val="clear" w:color="auto" w:fill="E8E8E8" w:themeFill="background2"/>
          </w:tcPr>
          <w:p w14:paraId="2A43412F" w14:textId="77777777" w:rsidR="000C2639" w:rsidRPr="00013403" w:rsidRDefault="000C2639" w:rsidP="00F40221">
            <w:pPr>
              <w:spacing w:after="120" w:line="276" w:lineRule="auto"/>
              <w:contextualSpacing/>
              <w:rPr>
                <w:b/>
                <w:sz w:val="24"/>
                <w:szCs w:val="24"/>
              </w:rPr>
            </w:pPr>
            <w:r w:rsidRPr="00013403">
              <w:rPr>
                <w:b/>
                <w:sz w:val="24"/>
                <w:szCs w:val="24"/>
              </w:rPr>
              <w:t>Improving complaint handling</w:t>
            </w:r>
          </w:p>
        </w:tc>
      </w:tr>
      <w:tr w:rsidR="000C2639" w14:paraId="6EEDA1FD" w14:textId="77777777" w:rsidTr="00537EAD">
        <w:tc>
          <w:tcPr>
            <w:tcW w:w="2830" w:type="dxa"/>
          </w:tcPr>
          <w:p w14:paraId="35A60961" w14:textId="77777777" w:rsidR="000C2639" w:rsidRPr="00013403" w:rsidRDefault="000C2639" w:rsidP="00F40221">
            <w:pPr>
              <w:spacing w:after="120" w:line="276" w:lineRule="auto"/>
              <w:contextualSpacing/>
              <w:rPr>
                <w:b/>
                <w:sz w:val="24"/>
                <w:szCs w:val="24"/>
              </w:rPr>
            </w:pPr>
            <w:r w:rsidRPr="00013403">
              <w:rPr>
                <w:b/>
                <w:sz w:val="24"/>
                <w:szCs w:val="24"/>
              </w:rPr>
              <w:t>Problem</w:t>
            </w:r>
          </w:p>
        </w:tc>
        <w:tc>
          <w:tcPr>
            <w:tcW w:w="10120" w:type="dxa"/>
          </w:tcPr>
          <w:p w14:paraId="3DC2A2D5" w14:textId="77777777" w:rsidR="000C2639" w:rsidRPr="00013403" w:rsidRDefault="000C2639" w:rsidP="00F40221">
            <w:pPr>
              <w:spacing w:after="120" w:line="276" w:lineRule="auto"/>
              <w:contextualSpacing/>
              <w:rPr>
                <w:sz w:val="24"/>
                <w:szCs w:val="24"/>
              </w:rPr>
            </w:pPr>
            <w:r w:rsidRPr="00013403">
              <w:rPr>
                <w:sz w:val="24"/>
                <w:szCs w:val="24"/>
              </w:rPr>
              <w:t xml:space="preserve">Members of the public see the Crown as one entity – it can be difficult to understand different complaints processes and policies across agencies. Agencies could work together to reduce siloes and stop the ‘merry-go-round’ effect. </w:t>
            </w:r>
          </w:p>
        </w:tc>
      </w:tr>
      <w:tr w:rsidR="000C2639" w14:paraId="3B2091BF" w14:textId="77777777" w:rsidTr="00537EAD">
        <w:tc>
          <w:tcPr>
            <w:tcW w:w="2830" w:type="dxa"/>
          </w:tcPr>
          <w:p w14:paraId="2D6C543B" w14:textId="77777777" w:rsidR="000C2639" w:rsidRPr="00013403" w:rsidRDefault="000C2639" w:rsidP="00F40221">
            <w:pPr>
              <w:spacing w:after="120" w:line="276" w:lineRule="auto"/>
              <w:contextualSpacing/>
              <w:rPr>
                <w:b/>
                <w:sz w:val="24"/>
                <w:szCs w:val="24"/>
              </w:rPr>
            </w:pPr>
            <w:r w:rsidRPr="00013403">
              <w:rPr>
                <w:b/>
                <w:sz w:val="24"/>
                <w:szCs w:val="24"/>
              </w:rPr>
              <w:t>Potential commitment(s)</w:t>
            </w:r>
          </w:p>
        </w:tc>
        <w:tc>
          <w:tcPr>
            <w:tcW w:w="10120" w:type="dxa"/>
          </w:tcPr>
          <w:p w14:paraId="2FE835E0" w14:textId="77777777" w:rsidR="000C2639" w:rsidRPr="00013403" w:rsidRDefault="000C2639" w:rsidP="00F40221">
            <w:pPr>
              <w:pStyle w:val="ListParagraph"/>
              <w:numPr>
                <w:ilvl w:val="0"/>
                <w:numId w:val="3"/>
              </w:numPr>
              <w:spacing w:after="120" w:line="276" w:lineRule="auto"/>
              <w:rPr>
                <w:sz w:val="24"/>
                <w:szCs w:val="24"/>
              </w:rPr>
            </w:pPr>
            <w:r w:rsidRPr="00013403">
              <w:rPr>
                <w:sz w:val="24"/>
                <w:szCs w:val="24"/>
              </w:rPr>
              <w:t>Identify the different ‘entry points’ for complaints</w:t>
            </w:r>
          </w:p>
          <w:p w14:paraId="7A678F10" w14:textId="77777777" w:rsidR="000C2639" w:rsidRPr="00013403" w:rsidRDefault="000C2639" w:rsidP="00F40221">
            <w:pPr>
              <w:pStyle w:val="ListParagraph"/>
              <w:numPr>
                <w:ilvl w:val="0"/>
                <w:numId w:val="3"/>
              </w:numPr>
              <w:spacing w:after="120" w:line="276" w:lineRule="auto"/>
              <w:rPr>
                <w:b/>
                <w:sz w:val="24"/>
                <w:szCs w:val="24"/>
              </w:rPr>
            </w:pPr>
            <w:r w:rsidRPr="00013403">
              <w:rPr>
                <w:sz w:val="24"/>
                <w:szCs w:val="24"/>
              </w:rPr>
              <w:t>Review agency practice and consider where alignment is possible</w:t>
            </w:r>
          </w:p>
          <w:p w14:paraId="71E85DF5" w14:textId="77777777" w:rsidR="000C2639" w:rsidRPr="00013403" w:rsidRDefault="000C2639" w:rsidP="00F40221">
            <w:pPr>
              <w:pStyle w:val="ListParagraph"/>
              <w:numPr>
                <w:ilvl w:val="0"/>
                <w:numId w:val="3"/>
              </w:numPr>
              <w:spacing w:after="120" w:line="276" w:lineRule="auto"/>
              <w:rPr>
                <w:b/>
                <w:sz w:val="24"/>
                <w:szCs w:val="24"/>
              </w:rPr>
            </w:pPr>
            <w:r w:rsidRPr="00013403">
              <w:rPr>
                <w:sz w:val="24"/>
                <w:szCs w:val="24"/>
              </w:rPr>
              <w:t>Investigate how complaint data could be used to inform guidance and identify areas for improvement</w:t>
            </w:r>
          </w:p>
          <w:p w14:paraId="7A6977A9" w14:textId="4FB3A876" w:rsidR="000C2639" w:rsidRPr="00013403" w:rsidRDefault="000C2639" w:rsidP="00F40221">
            <w:pPr>
              <w:pStyle w:val="ListParagraph"/>
              <w:numPr>
                <w:ilvl w:val="0"/>
                <w:numId w:val="3"/>
              </w:numPr>
              <w:spacing w:after="120" w:line="276" w:lineRule="auto"/>
              <w:rPr>
                <w:b/>
                <w:sz w:val="24"/>
                <w:szCs w:val="24"/>
              </w:rPr>
            </w:pPr>
            <w:r w:rsidRPr="2C61A97A">
              <w:rPr>
                <w:sz w:val="24"/>
                <w:szCs w:val="24"/>
              </w:rPr>
              <w:t>Review recommendations from the Royal Commission of Inquiry into Abuse in Care; assess whether chang</w:t>
            </w:r>
            <w:r w:rsidR="01CE86A3" w:rsidRPr="2C61A97A">
              <w:rPr>
                <w:sz w:val="24"/>
                <w:szCs w:val="24"/>
              </w:rPr>
              <w:t>e</w:t>
            </w:r>
            <w:r w:rsidRPr="2C61A97A">
              <w:rPr>
                <w:sz w:val="24"/>
                <w:szCs w:val="24"/>
              </w:rPr>
              <w:t>s are needed to the Working with Survivors Model Standards</w:t>
            </w:r>
          </w:p>
        </w:tc>
      </w:tr>
      <w:tr w:rsidR="000C2639" w14:paraId="1A1E1EFF" w14:textId="77777777" w:rsidTr="00537EAD">
        <w:tc>
          <w:tcPr>
            <w:tcW w:w="2830" w:type="dxa"/>
          </w:tcPr>
          <w:p w14:paraId="6B840FE5" w14:textId="77777777" w:rsidR="000C2639" w:rsidRPr="00013403" w:rsidRDefault="000C2639" w:rsidP="00F40221">
            <w:pPr>
              <w:spacing w:after="120" w:line="276" w:lineRule="auto"/>
              <w:contextualSpacing/>
              <w:rPr>
                <w:b/>
                <w:sz w:val="24"/>
                <w:szCs w:val="24"/>
              </w:rPr>
            </w:pPr>
            <w:r w:rsidRPr="00013403">
              <w:rPr>
                <w:b/>
                <w:sz w:val="24"/>
                <w:szCs w:val="24"/>
              </w:rPr>
              <w:t>Integrity AP focus area</w:t>
            </w:r>
          </w:p>
        </w:tc>
        <w:tc>
          <w:tcPr>
            <w:tcW w:w="10120" w:type="dxa"/>
          </w:tcPr>
          <w:p w14:paraId="4462B748" w14:textId="77777777" w:rsidR="000C2639" w:rsidRPr="00013403" w:rsidRDefault="000C2639" w:rsidP="00F40221">
            <w:pPr>
              <w:spacing w:after="120" w:line="276" w:lineRule="auto"/>
              <w:contextualSpacing/>
              <w:rPr>
                <w:sz w:val="24"/>
                <w:szCs w:val="24"/>
              </w:rPr>
            </w:pPr>
            <w:r w:rsidRPr="00013403">
              <w:rPr>
                <w:sz w:val="24"/>
                <w:szCs w:val="24"/>
                <w:lang w:val="en-US"/>
              </w:rPr>
              <w:t xml:space="preserve">Improving how complaints (including </w:t>
            </w:r>
            <w:proofErr w:type="gramStart"/>
            <w:r w:rsidRPr="00013403">
              <w:rPr>
                <w:sz w:val="24"/>
                <w:szCs w:val="24"/>
                <w:lang w:val="en-US"/>
              </w:rPr>
              <w:t>whistle-blowing</w:t>
            </w:r>
            <w:proofErr w:type="gramEnd"/>
            <w:r w:rsidRPr="00013403">
              <w:rPr>
                <w:sz w:val="24"/>
                <w:szCs w:val="24"/>
                <w:lang w:val="en-US"/>
              </w:rPr>
              <w:t>) are handled</w:t>
            </w:r>
          </w:p>
        </w:tc>
      </w:tr>
      <w:tr w:rsidR="000C2639" w14:paraId="61280E94" w14:textId="77777777" w:rsidTr="00537EAD">
        <w:tc>
          <w:tcPr>
            <w:tcW w:w="2830" w:type="dxa"/>
          </w:tcPr>
          <w:p w14:paraId="1097EE50" w14:textId="77777777" w:rsidR="000C2639" w:rsidRPr="00013403" w:rsidRDefault="000C2639" w:rsidP="00F40221">
            <w:pPr>
              <w:spacing w:after="120" w:line="276" w:lineRule="auto"/>
              <w:contextualSpacing/>
              <w:rPr>
                <w:b/>
                <w:sz w:val="24"/>
                <w:szCs w:val="24"/>
              </w:rPr>
            </w:pPr>
            <w:r w:rsidRPr="00013403">
              <w:rPr>
                <w:b/>
                <w:sz w:val="24"/>
                <w:szCs w:val="24"/>
              </w:rPr>
              <w:t>Stakeholder agencies</w:t>
            </w:r>
          </w:p>
        </w:tc>
        <w:tc>
          <w:tcPr>
            <w:tcW w:w="10120" w:type="dxa"/>
          </w:tcPr>
          <w:p w14:paraId="2F9E2617" w14:textId="77777777" w:rsidR="000C2639" w:rsidRPr="00013403" w:rsidRDefault="000C2639" w:rsidP="00F40221">
            <w:pPr>
              <w:spacing w:after="120" w:line="276" w:lineRule="auto"/>
              <w:contextualSpacing/>
              <w:rPr>
                <w:sz w:val="24"/>
                <w:szCs w:val="24"/>
              </w:rPr>
            </w:pPr>
            <w:r w:rsidRPr="00013403">
              <w:rPr>
                <w:sz w:val="24"/>
                <w:szCs w:val="24"/>
              </w:rPr>
              <w:t>Public Service Commission, Office of the Ombudsman</w:t>
            </w:r>
          </w:p>
        </w:tc>
      </w:tr>
      <w:tr w:rsidR="000C2639" w14:paraId="6CCD4AAA" w14:textId="77777777" w:rsidTr="00537EAD">
        <w:tc>
          <w:tcPr>
            <w:tcW w:w="2830" w:type="dxa"/>
          </w:tcPr>
          <w:p w14:paraId="58C435E1" w14:textId="77777777" w:rsidR="000C2639" w:rsidRPr="00013403" w:rsidRDefault="000C2639" w:rsidP="00F40221">
            <w:pPr>
              <w:spacing w:after="120" w:line="276" w:lineRule="auto"/>
              <w:contextualSpacing/>
              <w:rPr>
                <w:b/>
                <w:sz w:val="24"/>
                <w:szCs w:val="24"/>
              </w:rPr>
            </w:pPr>
            <w:r w:rsidRPr="00013403">
              <w:rPr>
                <w:b/>
                <w:sz w:val="24"/>
                <w:szCs w:val="24"/>
              </w:rPr>
              <w:t>Workshop prompts</w:t>
            </w:r>
          </w:p>
        </w:tc>
        <w:tc>
          <w:tcPr>
            <w:tcW w:w="10120" w:type="dxa"/>
          </w:tcPr>
          <w:p w14:paraId="7A53EB13" w14:textId="77777777" w:rsidR="000C2639" w:rsidRPr="00013403" w:rsidRDefault="000C2639" w:rsidP="00F40221">
            <w:pPr>
              <w:spacing w:after="120" w:line="276" w:lineRule="auto"/>
              <w:contextualSpacing/>
              <w:rPr>
                <w:sz w:val="24"/>
                <w:szCs w:val="24"/>
              </w:rPr>
            </w:pPr>
            <w:r w:rsidRPr="00013403">
              <w:rPr>
                <w:sz w:val="24"/>
                <w:szCs w:val="24"/>
              </w:rPr>
              <w:t>Are there any international examples of where complainants have one entry point?</w:t>
            </w:r>
          </w:p>
          <w:p w14:paraId="006E3F27" w14:textId="77777777" w:rsidR="000C2639" w:rsidRPr="00013403" w:rsidRDefault="000C2639" w:rsidP="00F40221">
            <w:pPr>
              <w:spacing w:after="120" w:line="276" w:lineRule="auto"/>
              <w:contextualSpacing/>
              <w:rPr>
                <w:sz w:val="24"/>
                <w:szCs w:val="24"/>
              </w:rPr>
            </w:pPr>
            <w:r w:rsidRPr="00013403">
              <w:rPr>
                <w:sz w:val="24"/>
                <w:szCs w:val="24"/>
              </w:rPr>
              <w:t>How can we balance efficient complaint resolution with the need to protect personal information?</w:t>
            </w:r>
          </w:p>
          <w:p w14:paraId="20796967" w14:textId="4325BD07" w:rsidR="000C2639" w:rsidRPr="00013403" w:rsidRDefault="000C2639" w:rsidP="00F40221">
            <w:pPr>
              <w:spacing w:after="120" w:line="276" w:lineRule="auto"/>
              <w:contextualSpacing/>
              <w:rPr>
                <w:sz w:val="24"/>
                <w:szCs w:val="24"/>
              </w:rPr>
            </w:pPr>
            <w:r w:rsidRPr="00013403">
              <w:rPr>
                <w:sz w:val="24"/>
                <w:szCs w:val="24"/>
              </w:rPr>
              <w:t xml:space="preserve">How does this </w:t>
            </w:r>
            <w:r w:rsidR="00392FD1" w:rsidRPr="00013403">
              <w:rPr>
                <w:sz w:val="24"/>
                <w:szCs w:val="24"/>
              </w:rPr>
              <w:t xml:space="preserve">theme </w:t>
            </w:r>
            <w:r w:rsidRPr="00013403">
              <w:rPr>
                <w:sz w:val="24"/>
                <w:szCs w:val="24"/>
              </w:rPr>
              <w:t>relate to the open government principles?</w:t>
            </w:r>
          </w:p>
        </w:tc>
      </w:tr>
    </w:tbl>
    <w:p w14:paraId="4D5D7CED" w14:textId="77777777" w:rsidR="000C2639" w:rsidRDefault="000C2639" w:rsidP="000C2639"/>
    <w:tbl>
      <w:tblPr>
        <w:tblStyle w:val="TableGrid"/>
        <w:tblW w:w="0" w:type="auto"/>
        <w:tblLook w:val="04A0" w:firstRow="1" w:lastRow="0" w:firstColumn="1" w:lastColumn="0" w:noHBand="0" w:noVBand="1"/>
      </w:tblPr>
      <w:tblGrid>
        <w:gridCol w:w="2830"/>
        <w:gridCol w:w="10120"/>
      </w:tblGrid>
      <w:tr w:rsidR="000C2639" w:rsidRPr="00F34A63" w14:paraId="40BC6EE6" w14:textId="77777777" w:rsidTr="00537EAD">
        <w:tc>
          <w:tcPr>
            <w:tcW w:w="12950" w:type="dxa"/>
            <w:gridSpan w:val="2"/>
            <w:shd w:val="clear" w:color="auto" w:fill="E8E8E8" w:themeFill="background2"/>
          </w:tcPr>
          <w:p w14:paraId="7853C513" w14:textId="77777777" w:rsidR="000C2639" w:rsidRPr="00013403" w:rsidRDefault="000C2639" w:rsidP="00F40221">
            <w:pPr>
              <w:spacing w:after="120" w:line="276" w:lineRule="auto"/>
              <w:rPr>
                <w:b/>
                <w:sz w:val="24"/>
                <w:szCs w:val="24"/>
              </w:rPr>
            </w:pPr>
            <w:r w:rsidRPr="00013403">
              <w:rPr>
                <w:b/>
                <w:sz w:val="24"/>
                <w:szCs w:val="24"/>
              </w:rPr>
              <w:lastRenderedPageBreak/>
              <w:t>Reviewing protected disclosure management</w:t>
            </w:r>
          </w:p>
        </w:tc>
      </w:tr>
      <w:tr w:rsidR="000C2639" w14:paraId="465BDCFF" w14:textId="77777777" w:rsidTr="00537EAD">
        <w:tc>
          <w:tcPr>
            <w:tcW w:w="2830" w:type="dxa"/>
          </w:tcPr>
          <w:p w14:paraId="17F75748" w14:textId="77777777" w:rsidR="000C2639" w:rsidRPr="00013403" w:rsidRDefault="000C2639" w:rsidP="00F40221">
            <w:pPr>
              <w:spacing w:after="120" w:line="276" w:lineRule="auto"/>
              <w:rPr>
                <w:b/>
                <w:sz w:val="24"/>
                <w:szCs w:val="24"/>
              </w:rPr>
            </w:pPr>
            <w:r w:rsidRPr="00013403">
              <w:rPr>
                <w:b/>
                <w:sz w:val="24"/>
                <w:szCs w:val="24"/>
              </w:rPr>
              <w:t>Problem</w:t>
            </w:r>
          </w:p>
        </w:tc>
        <w:tc>
          <w:tcPr>
            <w:tcW w:w="10120" w:type="dxa"/>
          </w:tcPr>
          <w:p w14:paraId="06DC23F3" w14:textId="77777777" w:rsidR="000C2639" w:rsidRPr="00013403" w:rsidRDefault="000C2639" w:rsidP="00F40221">
            <w:pPr>
              <w:spacing w:after="120" w:line="276" w:lineRule="auto"/>
              <w:rPr>
                <w:sz w:val="24"/>
                <w:szCs w:val="24"/>
              </w:rPr>
            </w:pPr>
            <w:r w:rsidRPr="00013403">
              <w:rPr>
                <w:sz w:val="24"/>
                <w:szCs w:val="24"/>
              </w:rPr>
              <w:t>There are questions over whether the protected disclosure process is working effectively, and whether people feel safe to speak up when they see serious wrongdoing.</w:t>
            </w:r>
          </w:p>
        </w:tc>
      </w:tr>
      <w:tr w:rsidR="000C2639" w14:paraId="6DA331DA" w14:textId="77777777" w:rsidTr="00537EAD">
        <w:tc>
          <w:tcPr>
            <w:tcW w:w="2830" w:type="dxa"/>
          </w:tcPr>
          <w:p w14:paraId="4D39F38F" w14:textId="77777777" w:rsidR="000C2639" w:rsidRPr="00013403" w:rsidRDefault="000C2639" w:rsidP="00F40221">
            <w:pPr>
              <w:spacing w:after="120" w:line="276" w:lineRule="auto"/>
              <w:rPr>
                <w:b/>
                <w:sz w:val="24"/>
                <w:szCs w:val="24"/>
              </w:rPr>
            </w:pPr>
            <w:r w:rsidRPr="00013403">
              <w:rPr>
                <w:b/>
                <w:sz w:val="24"/>
                <w:szCs w:val="24"/>
              </w:rPr>
              <w:t>Potential commitment(s)</w:t>
            </w:r>
          </w:p>
        </w:tc>
        <w:tc>
          <w:tcPr>
            <w:tcW w:w="10120" w:type="dxa"/>
          </w:tcPr>
          <w:p w14:paraId="43419562" w14:textId="77777777" w:rsidR="000C2639" w:rsidRPr="00013403" w:rsidRDefault="000C2639" w:rsidP="00F40221">
            <w:pPr>
              <w:pStyle w:val="ListParagraph"/>
              <w:numPr>
                <w:ilvl w:val="0"/>
                <w:numId w:val="3"/>
              </w:numPr>
              <w:spacing w:after="120" w:line="276" w:lineRule="auto"/>
              <w:contextualSpacing w:val="0"/>
              <w:rPr>
                <w:sz w:val="24"/>
                <w:szCs w:val="24"/>
              </w:rPr>
            </w:pPr>
            <w:r w:rsidRPr="00013403">
              <w:rPr>
                <w:sz w:val="24"/>
                <w:szCs w:val="24"/>
              </w:rPr>
              <w:t>Review the of the effectiveness of Protected Disclosures (Protection of Whistleblowers) Act</w:t>
            </w:r>
          </w:p>
          <w:p w14:paraId="460CA1AD" w14:textId="77777777" w:rsidR="000C2639" w:rsidRPr="00013403" w:rsidRDefault="000C2639" w:rsidP="00F40221">
            <w:pPr>
              <w:pStyle w:val="ListParagraph"/>
              <w:numPr>
                <w:ilvl w:val="0"/>
                <w:numId w:val="3"/>
              </w:numPr>
              <w:spacing w:after="120" w:line="276" w:lineRule="auto"/>
              <w:contextualSpacing w:val="0"/>
              <w:rPr>
                <w:sz w:val="24"/>
                <w:szCs w:val="24"/>
              </w:rPr>
            </w:pPr>
            <w:r w:rsidRPr="00013403">
              <w:rPr>
                <w:sz w:val="24"/>
                <w:szCs w:val="24"/>
              </w:rPr>
              <w:t>Review agency practice when receiving protected disclosures</w:t>
            </w:r>
          </w:p>
        </w:tc>
      </w:tr>
      <w:tr w:rsidR="000C2639" w14:paraId="77522790" w14:textId="77777777" w:rsidTr="00537EAD">
        <w:tc>
          <w:tcPr>
            <w:tcW w:w="2830" w:type="dxa"/>
          </w:tcPr>
          <w:p w14:paraId="28BC6764" w14:textId="77777777" w:rsidR="000C2639" w:rsidRPr="00013403" w:rsidRDefault="000C2639" w:rsidP="00F40221">
            <w:pPr>
              <w:spacing w:after="120" w:line="276" w:lineRule="auto"/>
              <w:rPr>
                <w:b/>
                <w:sz w:val="24"/>
                <w:szCs w:val="24"/>
              </w:rPr>
            </w:pPr>
            <w:r w:rsidRPr="00013403">
              <w:rPr>
                <w:b/>
                <w:sz w:val="24"/>
                <w:szCs w:val="24"/>
              </w:rPr>
              <w:t>Integrity AP focus area</w:t>
            </w:r>
          </w:p>
        </w:tc>
        <w:tc>
          <w:tcPr>
            <w:tcW w:w="10120" w:type="dxa"/>
          </w:tcPr>
          <w:p w14:paraId="5ED73015" w14:textId="77777777" w:rsidR="000C2639" w:rsidRPr="00013403" w:rsidRDefault="000C2639" w:rsidP="00F40221">
            <w:pPr>
              <w:spacing w:after="120" w:line="276" w:lineRule="auto"/>
              <w:rPr>
                <w:sz w:val="24"/>
                <w:szCs w:val="24"/>
                <w:lang w:val="en-US"/>
              </w:rPr>
            </w:pPr>
            <w:r w:rsidRPr="00013403">
              <w:rPr>
                <w:sz w:val="24"/>
                <w:szCs w:val="24"/>
                <w:lang w:val="en-US"/>
              </w:rPr>
              <w:t xml:space="preserve">Improving how complaints (including </w:t>
            </w:r>
            <w:proofErr w:type="gramStart"/>
            <w:r w:rsidRPr="00013403">
              <w:rPr>
                <w:sz w:val="24"/>
                <w:szCs w:val="24"/>
                <w:lang w:val="en-US"/>
              </w:rPr>
              <w:t>whistle-blowing</w:t>
            </w:r>
            <w:proofErr w:type="gramEnd"/>
            <w:r w:rsidRPr="00013403">
              <w:rPr>
                <w:sz w:val="24"/>
                <w:szCs w:val="24"/>
                <w:lang w:val="en-US"/>
              </w:rPr>
              <w:t>) are handled</w:t>
            </w:r>
          </w:p>
          <w:p w14:paraId="005C7DC9" w14:textId="77777777" w:rsidR="000C2639" w:rsidRPr="00013403" w:rsidRDefault="000C2639" w:rsidP="00F40221">
            <w:pPr>
              <w:spacing w:after="120" w:line="276" w:lineRule="auto"/>
              <w:rPr>
                <w:sz w:val="24"/>
                <w:szCs w:val="24"/>
              </w:rPr>
            </w:pPr>
            <w:r w:rsidRPr="00013403">
              <w:rPr>
                <w:sz w:val="24"/>
                <w:szCs w:val="24"/>
              </w:rPr>
              <w:t>Advancing our commitments to reduce corruption and fraud</w:t>
            </w:r>
          </w:p>
        </w:tc>
      </w:tr>
      <w:tr w:rsidR="000C2639" w14:paraId="7BCD2E50" w14:textId="77777777" w:rsidTr="00537EAD">
        <w:tc>
          <w:tcPr>
            <w:tcW w:w="2830" w:type="dxa"/>
          </w:tcPr>
          <w:p w14:paraId="25C4AB36" w14:textId="77777777" w:rsidR="000C2639" w:rsidRPr="00013403" w:rsidRDefault="000C2639" w:rsidP="00F40221">
            <w:pPr>
              <w:spacing w:after="120" w:line="276" w:lineRule="auto"/>
              <w:rPr>
                <w:b/>
                <w:sz w:val="24"/>
                <w:szCs w:val="24"/>
              </w:rPr>
            </w:pPr>
            <w:r w:rsidRPr="00013403">
              <w:rPr>
                <w:b/>
                <w:sz w:val="24"/>
                <w:szCs w:val="24"/>
              </w:rPr>
              <w:t>Stakeholder agencies</w:t>
            </w:r>
          </w:p>
        </w:tc>
        <w:tc>
          <w:tcPr>
            <w:tcW w:w="10120" w:type="dxa"/>
          </w:tcPr>
          <w:p w14:paraId="04E90E10" w14:textId="77777777" w:rsidR="000C2639" w:rsidRPr="00013403" w:rsidRDefault="000C2639" w:rsidP="00F40221">
            <w:pPr>
              <w:spacing w:after="120" w:line="276" w:lineRule="auto"/>
              <w:rPr>
                <w:sz w:val="24"/>
                <w:szCs w:val="24"/>
              </w:rPr>
            </w:pPr>
            <w:r w:rsidRPr="00013403">
              <w:rPr>
                <w:sz w:val="24"/>
                <w:szCs w:val="24"/>
              </w:rPr>
              <w:t>Public Service Commission, Office of the Ombudsman</w:t>
            </w:r>
          </w:p>
        </w:tc>
      </w:tr>
      <w:tr w:rsidR="000C2639" w14:paraId="573A2A34" w14:textId="77777777" w:rsidTr="00537EAD">
        <w:tc>
          <w:tcPr>
            <w:tcW w:w="2830" w:type="dxa"/>
          </w:tcPr>
          <w:p w14:paraId="09769D3D" w14:textId="77777777" w:rsidR="000C2639" w:rsidRPr="00013403" w:rsidRDefault="000C2639" w:rsidP="00F40221">
            <w:pPr>
              <w:spacing w:after="120" w:line="276" w:lineRule="auto"/>
              <w:rPr>
                <w:b/>
                <w:sz w:val="24"/>
                <w:szCs w:val="24"/>
              </w:rPr>
            </w:pPr>
            <w:r w:rsidRPr="00013403">
              <w:rPr>
                <w:b/>
                <w:sz w:val="24"/>
                <w:szCs w:val="24"/>
              </w:rPr>
              <w:t>Workshop prompts</w:t>
            </w:r>
          </w:p>
        </w:tc>
        <w:tc>
          <w:tcPr>
            <w:tcW w:w="10120" w:type="dxa"/>
          </w:tcPr>
          <w:p w14:paraId="267AEF79" w14:textId="147DB991" w:rsidR="000C2639" w:rsidRPr="00013403" w:rsidRDefault="000C2639" w:rsidP="00F40221">
            <w:pPr>
              <w:spacing w:after="120" w:line="276" w:lineRule="auto"/>
              <w:rPr>
                <w:sz w:val="24"/>
                <w:szCs w:val="24"/>
              </w:rPr>
            </w:pPr>
            <w:r w:rsidRPr="00013403">
              <w:rPr>
                <w:sz w:val="24"/>
                <w:szCs w:val="24"/>
              </w:rPr>
              <w:t xml:space="preserve">Is there research we could draw on to </w:t>
            </w:r>
            <w:r w:rsidR="00047B8E" w:rsidRPr="00013403">
              <w:rPr>
                <w:sz w:val="24"/>
                <w:szCs w:val="24"/>
              </w:rPr>
              <w:t>further refine this</w:t>
            </w:r>
            <w:r w:rsidRPr="00013403">
              <w:rPr>
                <w:sz w:val="24"/>
                <w:szCs w:val="24"/>
              </w:rPr>
              <w:t xml:space="preserve"> commitment?</w:t>
            </w:r>
          </w:p>
          <w:p w14:paraId="792BDFA9" w14:textId="77777777" w:rsidR="000C2639" w:rsidRPr="00013403" w:rsidRDefault="000C2639" w:rsidP="00F40221">
            <w:pPr>
              <w:spacing w:after="120" w:line="276" w:lineRule="auto"/>
              <w:rPr>
                <w:sz w:val="24"/>
                <w:szCs w:val="24"/>
              </w:rPr>
            </w:pPr>
            <w:r w:rsidRPr="00013403">
              <w:rPr>
                <w:sz w:val="24"/>
                <w:szCs w:val="24"/>
              </w:rPr>
              <w:t>Where can we find international best practice on protected disclosures?</w:t>
            </w:r>
          </w:p>
          <w:p w14:paraId="5541C547" w14:textId="6DF9141A" w:rsidR="000C2639" w:rsidRPr="00013403" w:rsidRDefault="00117E82" w:rsidP="00F40221">
            <w:pPr>
              <w:spacing w:after="120" w:line="276" w:lineRule="auto"/>
              <w:rPr>
                <w:sz w:val="24"/>
                <w:szCs w:val="24"/>
              </w:rPr>
            </w:pPr>
            <w:r w:rsidRPr="00013403">
              <w:rPr>
                <w:sz w:val="24"/>
                <w:szCs w:val="24"/>
              </w:rPr>
              <w:t>What about non</w:t>
            </w:r>
            <w:r w:rsidR="008D4B7B" w:rsidRPr="00013403">
              <w:rPr>
                <w:sz w:val="24"/>
                <w:szCs w:val="24"/>
              </w:rPr>
              <w:t>-government agencies?</w:t>
            </w:r>
          </w:p>
        </w:tc>
      </w:tr>
    </w:tbl>
    <w:p w14:paraId="441706E2" w14:textId="77777777" w:rsidR="00D3335B" w:rsidRDefault="00D3335B" w:rsidP="000C2639"/>
    <w:p w14:paraId="5E4A1ACE" w14:textId="28F62716" w:rsidR="00F319A1" w:rsidRDefault="000C2639" w:rsidP="00FD2AAB">
      <w:pPr>
        <w:pStyle w:val="Heading3"/>
      </w:pPr>
      <w:r>
        <w:t xml:space="preserve">Corruption and </w:t>
      </w:r>
      <w:r w:rsidR="00CB0A6C">
        <w:t>lobbying</w:t>
      </w:r>
    </w:p>
    <w:tbl>
      <w:tblPr>
        <w:tblStyle w:val="TableGrid"/>
        <w:tblW w:w="0" w:type="auto"/>
        <w:tblLook w:val="04A0" w:firstRow="1" w:lastRow="0" w:firstColumn="1" w:lastColumn="0" w:noHBand="0" w:noVBand="1"/>
      </w:tblPr>
      <w:tblGrid>
        <w:gridCol w:w="2830"/>
        <w:gridCol w:w="10120"/>
      </w:tblGrid>
      <w:tr w:rsidR="00802550" w:rsidRPr="00F34A63" w14:paraId="2F453183" w14:textId="77777777" w:rsidTr="00A11711">
        <w:tc>
          <w:tcPr>
            <w:tcW w:w="12950" w:type="dxa"/>
            <w:gridSpan w:val="2"/>
            <w:shd w:val="clear" w:color="auto" w:fill="E8E8E8" w:themeFill="background2"/>
          </w:tcPr>
          <w:p w14:paraId="06EC38A1" w14:textId="5489C9B6" w:rsidR="00802550" w:rsidRPr="00013403" w:rsidRDefault="00F34A63" w:rsidP="00F40221">
            <w:pPr>
              <w:spacing w:after="120" w:line="276" w:lineRule="auto"/>
              <w:rPr>
                <w:b/>
                <w:sz w:val="24"/>
                <w:szCs w:val="24"/>
              </w:rPr>
            </w:pPr>
            <w:r w:rsidRPr="00013403">
              <w:rPr>
                <w:b/>
                <w:sz w:val="24"/>
                <w:szCs w:val="24"/>
              </w:rPr>
              <w:t>Improving s</w:t>
            </w:r>
            <w:r w:rsidR="00802550" w:rsidRPr="00013403">
              <w:rPr>
                <w:b/>
                <w:sz w:val="24"/>
                <w:szCs w:val="24"/>
              </w:rPr>
              <w:t>ystem cohesion on corruption</w:t>
            </w:r>
          </w:p>
        </w:tc>
      </w:tr>
      <w:tr w:rsidR="00802550" w14:paraId="11843E6F" w14:textId="77777777" w:rsidTr="003417CB">
        <w:tc>
          <w:tcPr>
            <w:tcW w:w="2830" w:type="dxa"/>
          </w:tcPr>
          <w:p w14:paraId="0C892AD6" w14:textId="77777777" w:rsidR="00802550" w:rsidRPr="00013403" w:rsidRDefault="00802550" w:rsidP="00F40221">
            <w:pPr>
              <w:spacing w:after="120" w:line="276" w:lineRule="auto"/>
              <w:rPr>
                <w:b/>
                <w:sz w:val="24"/>
                <w:szCs w:val="24"/>
              </w:rPr>
            </w:pPr>
            <w:r w:rsidRPr="00013403">
              <w:rPr>
                <w:b/>
                <w:sz w:val="24"/>
                <w:szCs w:val="24"/>
              </w:rPr>
              <w:t>Problem</w:t>
            </w:r>
          </w:p>
        </w:tc>
        <w:tc>
          <w:tcPr>
            <w:tcW w:w="10120" w:type="dxa"/>
          </w:tcPr>
          <w:p w14:paraId="053D08B8" w14:textId="28A7519D" w:rsidR="00802550" w:rsidRPr="00013403" w:rsidRDefault="00DF09F1" w:rsidP="00F40221">
            <w:pPr>
              <w:spacing w:after="120" w:line="276" w:lineRule="auto"/>
              <w:rPr>
                <w:sz w:val="24"/>
                <w:szCs w:val="24"/>
              </w:rPr>
            </w:pPr>
            <w:r w:rsidRPr="00013403">
              <w:rPr>
                <w:sz w:val="24"/>
                <w:szCs w:val="24"/>
              </w:rPr>
              <w:t>There is no system-wide strategy for combatting corruption in New Zealand. Changing demographics and technology mean that we need a risk-based assessment of where corruption risks exist in NZ and what we can do about them.</w:t>
            </w:r>
          </w:p>
        </w:tc>
      </w:tr>
      <w:tr w:rsidR="00802550" w14:paraId="3C9F8ECC" w14:textId="77777777" w:rsidTr="003417CB">
        <w:tc>
          <w:tcPr>
            <w:tcW w:w="2830" w:type="dxa"/>
          </w:tcPr>
          <w:p w14:paraId="195BD5A9" w14:textId="77777777" w:rsidR="00802550" w:rsidRPr="00013403" w:rsidRDefault="00802550" w:rsidP="00F40221">
            <w:pPr>
              <w:spacing w:after="120" w:line="276" w:lineRule="auto"/>
              <w:rPr>
                <w:b/>
                <w:sz w:val="24"/>
                <w:szCs w:val="24"/>
              </w:rPr>
            </w:pPr>
            <w:r w:rsidRPr="00013403">
              <w:rPr>
                <w:b/>
                <w:sz w:val="24"/>
                <w:szCs w:val="24"/>
              </w:rPr>
              <w:t>Potential commitment(s)</w:t>
            </w:r>
          </w:p>
        </w:tc>
        <w:tc>
          <w:tcPr>
            <w:tcW w:w="10120" w:type="dxa"/>
          </w:tcPr>
          <w:p w14:paraId="3BCDF9E1" w14:textId="13403169" w:rsidR="00802550" w:rsidRPr="00013403" w:rsidRDefault="00322644" w:rsidP="00F40221">
            <w:pPr>
              <w:pStyle w:val="ListParagraph"/>
              <w:numPr>
                <w:ilvl w:val="0"/>
                <w:numId w:val="3"/>
              </w:numPr>
              <w:spacing w:after="120" w:line="276" w:lineRule="auto"/>
              <w:contextualSpacing w:val="0"/>
              <w:rPr>
                <w:sz w:val="24"/>
                <w:szCs w:val="24"/>
              </w:rPr>
            </w:pPr>
            <w:r w:rsidRPr="00013403">
              <w:rPr>
                <w:sz w:val="24"/>
                <w:szCs w:val="24"/>
              </w:rPr>
              <w:t>Develop practice for the centralised reporting of serious misconduct to the Public Service Commission</w:t>
            </w:r>
          </w:p>
          <w:p w14:paraId="6EF89348" w14:textId="205415D4" w:rsidR="00802550" w:rsidRPr="00013403" w:rsidRDefault="00F02A6E" w:rsidP="00F40221">
            <w:pPr>
              <w:pStyle w:val="ListParagraph"/>
              <w:numPr>
                <w:ilvl w:val="0"/>
                <w:numId w:val="3"/>
              </w:numPr>
              <w:spacing w:after="120" w:line="276" w:lineRule="auto"/>
              <w:contextualSpacing w:val="0"/>
              <w:rPr>
                <w:sz w:val="24"/>
                <w:szCs w:val="24"/>
              </w:rPr>
            </w:pPr>
            <w:r w:rsidRPr="00013403">
              <w:rPr>
                <w:sz w:val="24"/>
                <w:szCs w:val="24"/>
              </w:rPr>
              <w:t xml:space="preserve">Assess data from the </w:t>
            </w:r>
            <w:hyperlink r:id="rId12" w:history="1">
              <w:r w:rsidRPr="00013403">
                <w:rPr>
                  <w:rStyle w:val="Hyperlink"/>
                  <w:sz w:val="24"/>
                  <w:szCs w:val="24"/>
                </w:rPr>
                <w:t>Anti-Corruption</w:t>
              </w:r>
              <w:r w:rsidRPr="00013403">
                <w:rPr>
                  <w:rStyle w:val="Hyperlink"/>
                  <w:rFonts w:cs="Arial"/>
                  <w:sz w:val="24"/>
                  <w:szCs w:val="24"/>
                </w:rPr>
                <w:t> </w:t>
              </w:r>
              <w:r w:rsidRPr="00013403">
                <w:rPr>
                  <w:rStyle w:val="Hyperlink"/>
                  <w:sz w:val="24"/>
                  <w:szCs w:val="24"/>
                </w:rPr>
                <w:t>Taskforce Pilot - Serious Fraud Office, New Zealand</w:t>
              </w:r>
            </w:hyperlink>
          </w:p>
          <w:p w14:paraId="27437CAA" w14:textId="77777777" w:rsidR="0034117F" w:rsidRPr="00013403" w:rsidRDefault="0034117F" w:rsidP="00F40221">
            <w:pPr>
              <w:pStyle w:val="ListParagraph"/>
              <w:numPr>
                <w:ilvl w:val="0"/>
                <w:numId w:val="3"/>
              </w:numPr>
              <w:spacing w:after="120" w:line="276" w:lineRule="auto"/>
              <w:contextualSpacing w:val="0"/>
              <w:rPr>
                <w:sz w:val="24"/>
                <w:szCs w:val="24"/>
              </w:rPr>
            </w:pPr>
            <w:r w:rsidRPr="00013403">
              <w:rPr>
                <w:sz w:val="24"/>
                <w:szCs w:val="24"/>
              </w:rPr>
              <w:lastRenderedPageBreak/>
              <w:t xml:space="preserve">Investigate the effectiveness of </w:t>
            </w:r>
            <w:hyperlink r:id="rId13" w:history="1">
              <w:r w:rsidRPr="00013403">
                <w:rPr>
                  <w:rStyle w:val="Hyperlink"/>
                  <w:sz w:val="24"/>
                  <w:szCs w:val="24"/>
                </w:rPr>
                <w:t>Australia's Anti-Corruption Commissions</w:t>
              </w:r>
            </w:hyperlink>
            <w:r w:rsidRPr="00013403">
              <w:rPr>
                <w:sz w:val="24"/>
                <w:szCs w:val="24"/>
              </w:rPr>
              <w:t xml:space="preserve"> to reduce corruption and fraud</w:t>
            </w:r>
          </w:p>
          <w:p w14:paraId="7C1BA683" w14:textId="77777777" w:rsidR="00AB1E8D" w:rsidRPr="00013403" w:rsidRDefault="00BF414D" w:rsidP="00F40221">
            <w:pPr>
              <w:pStyle w:val="ListParagraph"/>
              <w:numPr>
                <w:ilvl w:val="0"/>
                <w:numId w:val="3"/>
              </w:numPr>
              <w:spacing w:after="120" w:line="276" w:lineRule="auto"/>
              <w:contextualSpacing w:val="0"/>
              <w:rPr>
                <w:sz w:val="24"/>
                <w:szCs w:val="24"/>
              </w:rPr>
            </w:pPr>
            <w:r w:rsidRPr="00013403">
              <w:rPr>
                <w:sz w:val="24"/>
                <w:szCs w:val="24"/>
              </w:rPr>
              <w:t xml:space="preserve">Develop a </w:t>
            </w:r>
            <w:r w:rsidR="00322644" w:rsidRPr="00013403">
              <w:rPr>
                <w:sz w:val="24"/>
                <w:szCs w:val="24"/>
              </w:rPr>
              <w:t>publicly accessible</w:t>
            </w:r>
            <w:r w:rsidRPr="00013403">
              <w:rPr>
                <w:sz w:val="24"/>
                <w:szCs w:val="24"/>
              </w:rPr>
              <w:t xml:space="preserve"> assessment of corruption risks in New Zealand</w:t>
            </w:r>
          </w:p>
          <w:p w14:paraId="732063BF" w14:textId="795B8C6D" w:rsidR="00AB1E8D" w:rsidRPr="00013403" w:rsidRDefault="00463501" w:rsidP="00F40221">
            <w:pPr>
              <w:pStyle w:val="ListParagraph"/>
              <w:numPr>
                <w:ilvl w:val="0"/>
                <w:numId w:val="3"/>
              </w:numPr>
              <w:spacing w:after="120" w:line="276" w:lineRule="auto"/>
              <w:contextualSpacing w:val="0"/>
              <w:rPr>
                <w:sz w:val="24"/>
                <w:szCs w:val="24"/>
              </w:rPr>
            </w:pPr>
            <w:r w:rsidRPr="00013403">
              <w:rPr>
                <w:sz w:val="24"/>
                <w:szCs w:val="24"/>
              </w:rPr>
              <w:t xml:space="preserve">Look into </w:t>
            </w:r>
            <w:r w:rsidR="00FC6731" w:rsidRPr="00013403">
              <w:rPr>
                <w:sz w:val="24"/>
                <w:szCs w:val="24"/>
              </w:rPr>
              <w:t>risks and responses to foreign bribery</w:t>
            </w:r>
          </w:p>
        </w:tc>
      </w:tr>
      <w:tr w:rsidR="00802550" w14:paraId="7CABF959" w14:textId="77777777" w:rsidTr="003417CB">
        <w:tc>
          <w:tcPr>
            <w:tcW w:w="2830" w:type="dxa"/>
          </w:tcPr>
          <w:p w14:paraId="5035FE0D" w14:textId="77777777" w:rsidR="00802550" w:rsidRPr="00013403" w:rsidRDefault="00802550" w:rsidP="00F40221">
            <w:pPr>
              <w:spacing w:after="120" w:line="276" w:lineRule="auto"/>
              <w:rPr>
                <w:b/>
                <w:sz w:val="24"/>
                <w:szCs w:val="24"/>
              </w:rPr>
            </w:pPr>
            <w:r w:rsidRPr="00013403">
              <w:rPr>
                <w:b/>
                <w:sz w:val="24"/>
                <w:szCs w:val="24"/>
              </w:rPr>
              <w:lastRenderedPageBreak/>
              <w:t>Integrity AP focus area</w:t>
            </w:r>
          </w:p>
        </w:tc>
        <w:tc>
          <w:tcPr>
            <w:tcW w:w="10120" w:type="dxa"/>
          </w:tcPr>
          <w:p w14:paraId="42601FAD" w14:textId="12FB0F33" w:rsidR="00802550" w:rsidRPr="00013403" w:rsidRDefault="00A11711" w:rsidP="00F40221">
            <w:pPr>
              <w:spacing w:after="120" w:line="276" w:lineRule="auto"/>
              <w:rPr>
                <w:sz w:val="24"/>
                <w:szCs w:val="24"/>
              </w:rPr>
            </w:pPr>
            <w:r w:rsidRPr="00013403">
              <w:rPr>
                <w:sz w:val="24"/>
                <w:szCs w:val="24"/>
              </w:rPr>
              <w:t>Advancing our commitments to reduce corruption and fraud</w:t>
            </w:r>
          </w:p>
        </w:tc>
      </w:tr>
      <w:tr w:rsidR="00802550" w14:paraId="1A2E9FEA" w14:textId="77777777" w:rsidTr="003417CB">
        <w:tc>
          <w:tcPr>
            <w:tcW w:w="2830" w:type="dxa"/>
          </w:tcPr>
          <w:p w14:paraId="6C89D2CD" w14:textId="77777777" w:rsidR="00802550" w:rsidRPr="00013403" w:rsidRDefault="00802550" w:rsidP="00F40221">
            <w:pPr>
              <w:spacing w:after="120" w:line="276" w:lineRule="auto"/>
              <w:rPr>
                <w:b/>
                <w:sz w:val="24"/>
                <w:szCs w:val="24"/>
              </w:rPr>
            </w:pPr>
            <w:r w:rsidRPr="00013403">
              <w:rPr>
                <w:b/>
                <w:sz w:val="24"/>
                <w:szCs w:val="24"/>
              </w:rPr>
              <w:t>Stakeholder agencies</w:t>
            </w:r>
          </w:p>
        </w:tc>
        <w:tc>
          <w:tcPr>
            <w:tcW w:w="10120" w:type="dxa"/>
          </w:tcPr>
          <w:p w14:paraId="7E68EBE5" w14:textId="04A6840F" w:rsidR="00802550" w:rsidRPr="00013403" w:rsidRDefault="00802550" w:rsidP="00F40221">
            <w:pPr>
              <w:spacing w:after="120" w:line="276" w:lineRule="auto"/>
              <w:rPr>
                <w:sz w:val="24"/>
                <w:szCs w:val="24"/>
              </w:rPr>
            </w:pPr>
            <w:r w:rsidRPr="00013403">
              <w:rPr>
                <w:sz w:val="24"/>
                <w:szCs w:val="24"/>
              </w:rPr>
              <w:t>Serious Fraud Office</w:t>
            </w:r>
            <w:r w:rsidR="005077E3" w:rsidRPr="00013403">
              <w:rPr>
                <w:sz w:val="24"/>
                <w:szCs w:val="24"/>
              </w:rPr>
              <w:t>, Public Service Commission</w:t>
            </w:r>
            <w:r w:rsidR="00207157" w:rsidRPr="00013403">
              <w:rPr>
                <w:sz w:val="24"/>
                <w:szCs w:val="24"/>
              </w:rPr>
              <w:t>, Ministry of Justice</w:t>
            </w:r>
          </w:p>
        </w:tc>
      </w:tr>
      <w:tr w:rsidR="00802550" w14:paraId="0AD612DC" w14:textId="77777777" w:rsidTr="003417CB">
        <w:tc>
          <w:tcPr>
            <w:tcW w:w="2830" w:type="dxa"/>
          </w:tcPr>
          <w:p w14:paraId="09B980E5" w14:textId="77777777" w:rsidR="00802550" w:rsidRPr="00013403" w:rsidRDefault="00802550" w:rsidP="00F40221">
            <w:pPr>
              <w:spacing w:after="120" w:line="276" w:lineRule="auto"/>
              <w:rPr>
                <w:b/>
                <w:sz w:val="24"/>
                <w:szCs w:val="24"/>
              </w:rPr>
            </w:pPr>
            <w:r w:rsidRPr="00013403">
              <w:rPr>
                <w:b/>
                <w:sz w:val="24"/>
                <w:szCs w:val="24"/>
              </w:rPr>
              <w:t>Workshop prompts</w:t>
            </w:r>
          </w:p>
        </w:tc>
        <w:tc>
          <w:tcPr>
            <w:tcW w:w="10120" w:type="dxa"/>
          </w:tcPr>
          <w:p w14:paraId="032471B9" w14:textId="77384017" w:rsidR="00802550" w:rsidRPr="00013403" w:rsidRDefault="008C1AED" w:rsidP="00F40221">
            <w:pPr>
              <w:spacing w:after="120" w:line="276" w:lineRule="auto"/>
              <w:rPr>
                <w:sz w:val="24"/>
                <w:szCs w:val="24"/>
              </w:rPr>
            </w:pPr>
            <w:r w:rsidRPr="00013403">
              <w:rPr>
                <w:sz w:val="24"/>
                <w:szCs w:val="24"/>
              </w:rPr>
              <w:t xml:space="preserve">How could we scope a commitment to </w:t>
            </w:r>
            <w:r w:rsidR="00C57455" w:rsidRPr="00013403">
              <w:rPr>
                <w:sz w:val="24"/>
                <w:szCs w:val="24"/>
              </w:rPr>
              <w:t xml:space="preserve">make a difference in </w:t>
            </w:r>
            <w:r w:rsidR="00F86372" w:rsidRPr="00013403">
              <w:rPr>
                <w:sz w:val="24"/>
                <w:szCs w:val="24"/>
              </w:rPr>
              <w:t>both the public and private sectors?</w:t>
            </w:r>
          </w:p>
          <w:p w14:paraId="3ABA1A1B" w14:textId="77777777" w:rsidR="0036459A" w:rsidRPr="00013403" w:rsidRDefault="0036459A" w:rsidP="00F40221">
            <w:pPr>
              <w:spacing w:after="120" w:line="276" w:lineRule="auto"/>
              <w:rPr>
                <w:sz w:val="24"/>
                <w:szCs w:val="24"/>
              </w:rPr>
            </w:pPr>
            <w:r w:rsidRPr="00013403">
              <w:rPr>
                <w:sz w:val="24"/>
                <w:szCs w:val="24"/>
              </w:rPr>
              <w:t>Do agencies and the public understand the risk of corruption?</w:t>
            </w:r>
          </w:p>
          <w:p w14:paraId="2C927D1A" w14:textId="368C7A54" w:rsidR="003B59A0" w:rsidRPr="00013403" w:rsidRDefault="003B59A0" w:rsidP="00F40221">
            <w:pPr>
              <w:spacing w:after="120" w:line="276" w:lineRule="auto"/>
              <w:rPr>
                <w:sz w:val="24"/>
                <w:szCs w:val="24"/>
              </w:rPr>
            </w:pPr>
            <w:r w:rsidRPr="00013403">
              <w:rPr>
                <w:sz w:val="24"/>
                <w:szCs w:val="24"/>
              </w:rPr>
              <w:t>Could we include any actions to address the risk of NZ involvement in foreign bribery?</w:t>
            </w:r>
          </w:p>
        </w:tc>
      </w:tr>
    </w:tbl>
    <w:p w14:paraId="3DC6E88B" w14:textId="77777777" w:rsidR="00F319A1" w:rsidRPr="00164304" w:rsidRDefault="00F319A1" w:rsidP="00435FE8"/>
    <w:tbl>
      <w:tblPr>
        <w:tblStyle w:val="TableGrid"/>
        <w:tblW w:w="0" w:type="auto"/>
        <w:tblLook w:val="04A0" w:firstRow="1" w:lastRow="0" w:firstColumn="1" w:lastColumn="0" w:noHBand="0" w:noVBand="1"/>
      </w:tblPr>
      <w:tblGrid>
        <w:gridCol w:w="2830"/>
        <w:gridCol w:w="10120"/>
      </w:tblGrid>
      <w:tr w:rsidR="00CB0A6C" w:rsidRPr="00F34A63" w14:paraId="042E24C0" w14:textId="77777777" w:rsidTr="00537EAD">
        <w:tc>
          <w:tcPr>
            <w:tcW w:w="12950" w:type="dxa"/>
            <w:gridSpan w:val="2"/>
            <w:shd w:val="clear" w:color="auto" w:fill="E8E8E8" w:themeFill="background2"/>
          </w:tcPr>
          <w:p w14:paraId="12774210" w14:textId="01562860" w:rsidR="00CB0A6C" w:rsidRPr="00F40221" w:rsidRDefault="00DD4181" w:rsidP="00F40221">
            <w:pPr>
              <w:spacing w:after="120" w:line="276" w:lineRule="auto"/>
              <w:rPr>
                <w:b/>
                <w:sz w:val="24"/>
                <w:szCs w:val="24"/>
              </w:rPr>
            </w:pPr>
            <w:r w:rsidRPr="00F40221">
              <w:rPr>
                <w:b/>
                <w:sz w:val="24"/>
                <w:szCs w:val="24"/>
              </w:rPr>
              <w:t>Improving transparency around ‘revolving door’ and lobbying</w:t>
            </w:r>
          </w:p>
        </w:tc>
      </w:tr>
      <w:tr w:rsidR="00CB0A6C" w14:paraId="48986B71" w14:textId="77777777" w:rsidTr="00537EAD">
        <w:tc>
          <w:tcPr>
            <w:tcW w:w="2830" w:type="dxa"/>
          </w:tcPr>
          <w:p w14:paraId="7944916B" w14:textId="77777777" w:rsidR="00CB0A6C" w:rsidRPr="00F40221" w:rsidRDefault="00CB0A6C" w:rsidP="00F40221">
            <w:pPr>
              <w:spacing w:after="120" w:line="276" w:lineRule="auto"/>
              <w:rPr>
                <w:b/>
                <w:sz w:val="24"/>
                <w:szCs w:val="24"/>
              </w:rPr>
            </w:pPr>
            <w:r w:rsidRPr="00F40221">
              <w:rPr>
                <w:b/>
                <w:sz w:val="24"/>
                <w:szCs w:val="24"/>
              </w:rPr>
              <w:t>Problem</w:t>
            </w:r>
          </w:p>
        </w:tc>
        <w:tc>
          <w:tcPr>
            <w:tcW w:w="10120" w:type="dxa"/>
          </w:tcPr>
          <w:p w14:paraId="568BB480" w14:textId="18F25E8A" w:rsidR="00CB0A6C" w:rsidRPr="00F40221" w:rsidRDefault="00CB0A6C" w:rsidP="00F40221">
            <w:pPr>
              <w:spacing w:after="120" w:line="276" w:lineRule="auto"/>
              <w:rPr>
                <w:sz w:val="24"/>
                <w:szCs w:val="24"/>
              </w:rPr>
            </w:pPr>
            <w:r w:rsidRPr="00F40221">
              <w:rPr>
                <w:sz w:val="24"/>
                <w:szCs w:val="24"/>
              </w:rPr>
              <w:t>There are ethical issues when senior public servants or Ministers move from government to private sector roles like lobbying.</w:t>
            </w:r>
            <w:r w:rsidR="00634932" w:rsidRPr="00F40221">
              <w:rPr>
                <w:sz w:val="24"/>
                <w:szCs w:val="24"/>
              </w:rPr>
              <w:t xml:space="preserve"> </w:t>
            </w:r>
            <w:r w:rsidR="00DD4181" w:rsidRPr="00F40221">
              <w:rPr>
                <w:sz w:val="24"/>
                <w:szCs w:val="24"/>
              </w:rPr>
              <w:t xml:space="preserve">New Zealand has comparatively few </w:t>
            </w:r>
            <w:r w:rsidR="00282684" w:rsidRPr="00F40221">
              <w:rPr>
                <w:sz w:val="24"/>
                <w:szCs w:val="24"/>
              </w:rPr>
              <w:t>obligations on senior public servants when they leave public service employment.</w:t>
            </w:r>
            <w:r w:rsidR="00E82164" w:rsidRPr="00F40221">
              <w:rPr>
                <w:sz w:val="24"/>
                <w:szCs w:val="24"/>
              </w:rPr>
              <w:t xml:space="preserve"> </w:t>
            </w:r>
          </w:p>
        </w:tc>
      </w:tr>
      <w:tr w:rsidR="00CB0A6C" w14:paraId="0DEC8EDF" w14:textId="77777777" w:rsidTr="00537EAD">
        <w:tc>
          <w:tcPr>
            <w:tcW w:w="2830" w:type="dxa"/>
          </w:tcPr>
          <w:p w14:paraId="1A5E98D5" w14:textId="77777777" w:rsidR="00CB0A6C" w:rsidRPr="00F40221" w:rsidRDefault="00CB0A6C" w:rsidP="00F40221">
            <w:pPr>
              <w:spacing w:after="120" w:line="276" w:lineRule="auto"/>
              <w:rPr>
                <w:b/>
                <w:sz w:val="24"/>
                <w:szCs w:val="24"/>
              </w:rPr>
            </w:pPr>
            <w:r w:rsidRPr="00F40221">
              <w:rPr>
                <w:b/>
                <w:sz w:val="24"/>
                <w:szCs w:val="24"/>
              </w:rPr>
              <w:t>Potential commitment(s)</w:t>
            </w:r>
          </w:p>
        </w:tc>
        <w:tc>
          <w:tcPr>
            <w:tcW w:w="10120" w:type="dxa"/>
          </w:tcPr>
          <w:p w14:paraId="1F66241A" w14:textId="0FDF7044" w:rsidR="00660DE1" w:rsidRPr="00F40221" w:rsidRDefault="00660DE1" w:rsidP="00F40221">
            <w:pPr>
              <w:pStyle w:val="ListParagraph"/>
              <w:numPr>
                <w:ilvl w:val="0"/>
                <w:numId w:val="8"/>
              </w:numPr>
              <w:spacing w:after="120" w:line="276" w:lineRule="auto"/>
              <w:contextualSpacing w:val="0"/>
              <w:rPr>
                <w:b/>
                <w:sz w:val="24"/>
                <w:szCs w:val="24"/>
              </w:rPr>
            </w:pPr>
            <w:r w:rsidRPr="00F40221">
              <w:rPr>
                <w:sz w:val="24"/>
                <w:szCs w:val="24"/>
              </w:rPr>
              <w:t xml:space="preserve">Assess the risks that arise when senior public servants </w:t>
            </w:r>
            <w:r w:rsidR="002B6903" w:rsidRPr="00F40221">
              <w:rPr>
                <w:sz w:val="24"/>
                <w:szCs w:val="24"/>
              </w:rPr>
              <w:t>move from government to private sector roles</w:t>
            </w:r>
          </w:p>
          <w:p w14:paraId="3A19E17F" w14:textId="5C833124" w:rsidR="009B0832" w:rsidRPr="00F40221" w:rsidRDefault="00F46E70" w:rsidP="00F40221">
            <w:pPr>
              <w:pStyle w:val="ListParagraph"/>
              <w:numPr>
                <w:ilvl w:val="0"/>
                <w:numId w:val="8"/>
              </w:numPr>
              <w:spacing w:after="120" w:line="276" w:lineRule="auto"/>
              <w:contextualSpacing w:val="0"/>
              <w:rPr>
                <w:b/>
                <w:sz w:val="24"/>
                <w:szCs w:val="24"/>
              </w:rPr>
            </w:pPr>
            <w:r w:rsidRPr="00F40221">
              <w:rPr>
                <w:sz w:val="24"/>
                <w:szCs w:val="24"/>
              </w:rPr>
              <w:t xml:space="preserve">Investigate options </w:t>
            </w:r>
            <w:r w:rsidR="00D65199" w:rsidRPr="00F40221">
              <w:rPr>
                <w:sz w:val="24"/>
                <w:szCs w:val="24"/>
              </w:rPr>
              <w:t xml:space="preserve">to strengthen transparency </w:t>
            </w:r>
            <w:r w:rsidR="00282684" w:rsidRPr="00F40221">
              <w:rPr>
                <w:sz w:val="24"/>
                <w:szCs w:val="24"/>
              </w:rPr>
              <w:t>when senior public servants enter</w:t>
            </w:r>
            <w:r w:rsidR="00BB5F4B" w:rsidRPr="00F40221">
              <w:rPr>
                <w:sz w:val="24"/>
                <w:szCs w:val="24"/>
              </w:rPr>
              <w:t xml:space="preserve"> the private sector, especially into lobbying roles</w:t>
            </w:r>
          </w:p>
        </w:tc>
      </w:tr>
      <w:tr w:rsidR="00CB0A6C" w14:paraId="6DA3CE76" w14:textId="77777777" w:rsidTr="00537EAD">
        <w:tc>
          <w:tcPr>
            <w:tcW w:w="2830" w:type="dxa"/>
          </w:tcPr>
          <w:p w14:paraId="4731AA4C" w14:textId="77777777" w:rsidR="00CB0A6C" w:rsidRPr="00F40221" w:rsidRDefault="00CB0A6C" w:rsidP="00F40221">
            <w:pPr>
              <w:spacing w:after="120" w:line="276" w:lineRule="auto"/>
              <w:rPr>
                <w:b/>
                <w:sz w:val="24"/>
                <w:szCs w:val="24"/>
              </w:rPr>
            </w:pPr>
            <w:r w:rsidRPr="00F40221">
              <w:rPr>
                <w:b/>
                <w:sz w:val="24"/>
                <w:szCs w:val="24"/>
              </w:rPr>
              <w:t>Integrity AP focus area</w:t>
            </w:r>
          </w:p>
        </w:tc>
        <w:tc>
          <w:tcPr>
            <w:tcW w:w="10120" w:type="dxa"/>
          </w:tcPr>
          <w:p w14:paraId="575F02AB" w14:textId="77777777" w:rsidR="00CB0A6C" w:rsidRPr="00F40221" w:rsidRDefault="00CB0A6C" w:rsidP="00F40221">
            <w:pPr>
              <w:spacing w:after="120" w:line="276" w:lineRule="auto"/>
              <w:rPr>
                <w:sz w:val="24"/>
                <w:szCs w:val="24"/>
              </w:rPr>
            </w:pPr>
            <w:r w:rsidRPr="00F40221">
              <w:rPr>
                <w:sz w:val="24"/>
                <w:szCs w:val="24"/>
              </w:rPr>
              <w:t>Strengthening conflict of interest management</w:t>
            </w:r>
          </w:p>
          <w:p w14:paraId="72F64AE3" w14:textId="77777777" w:rsidR="00CB0A6C" w:rsidRPr="00F40221" w:rsidRDefault="00CB0A6C" w:rsidP="00F40221">
            <w:pPr>
              <w:spacing w:after="120" w:line="276" w:lineRule="auto"/>
              <w:rPr>
                <w:sz w:val="24"/>
                <w:szCs w:val="24"/>
              </w:rPr>
            </w:pPr>
            <w:r w:rsidRPr="00F40221">
              <w:rPr>
                <w:sz w:val="24"/>
                <w:szCs w:val="24"/>
              </w:rPr>
              <w:t>Advancing our commitments to reduce corruption and fraud</w:t>
            </w:r>
          </w:p>
        </w:tc>
      </w:tr>
      <w:tr w:rsidR="00CB0A6C" w14:paraId="00410352" w14:textId="77777777" w:rsidTr="00537EAD">
        <w:tc>
          <w:tcPr>
            <w:tcW w:w="2830" w:type="dxa"/>
          </w:tcPr>
          <w:p w14:paraId="40348991" w14:textId="77777777" w:rsidR="00CB0A6C" w:rsidRPr="00F40221" w:rsidRDefault="00CB0A6C" w:rsidP="00F40221">
            <w:pPr>
              <w:spacing w:after="120" w:line="276" w:lineRule="auto"/>
              <w:rPr>
                <w:b/>
                <w:sz w:val="24"/>
                <w:szCs w:val="24"/>
              </w:rPr>
            </w:pPr>
            <w:r w:rsidRPr="00F40221">
              <w:rPr>
                <w:b/>
                <w:sz w:val="24"/>
                <w:szCs w:val="24"/>
              </w:rPr>
              <w:t>Stakeholder agencies</w:t>
            </w:r>
          </w:p>
        </w:tc>
        <w:tc>
          <w:tcPr>
            <w:tcW w:w="10120" w:type="dxa"/>
          </w:tcPr>
          <w:p w14:paraId="3A8E4D87" w14:textId="77777777" w:rsidR="00CB0A6C" w:rsidRPr="00F40221" w:rsidRDefault="00CB0A6C" w:rsidP="00F40221">
            <w:pPr>
              <w:spacing w:after="120" w:line="276" w:lineRule="auto"/>
              <w:rPr>
                <w:sz w:val="24"/>
                <w:szCs w:val="24"/>
              </w:rPr>
            </w:pPr>
            <w:r w:rsidRPr="00F40221">
              <w:rPr>
                <w:sz w:val="24"/>
                <w:szCs w:val="24"/>
              </w:rPr>
              <w:t>Public Service Commission, Ministry of Justice</w:t>
            </w:r>
          </w:p>
        </w:tc>
      </w:tr>
      <w:tr w:rsidR="00CB0A6C" w14:paraId="6288F2CF" w14:textId="77777777" w:rsidTr="00537EAD">
        <w:tc>
          <w:tcPr>
            <w:tcW w:w="2830" w:type="dxa"/>
          </w:tcPr>
          <w:p w14:paraId="59291B02" w14:textId="77777777" w:rsidR="00CB0A6C" w:rsidRPr="00F40221" w:rsidRDefault="00CB0A6C" w:rsidP="00F40221">
            <w:pPr>
              <w:spacing w:after="120" w:line="276" w:lineRule="auto"/>
              <w:rPr>
                <w:b/>
                <w:sz w:val="24"/>
                <w:szCs w:val="24"/>
              </w:rPr>
            </w:pPr>
            <w:r w:rsidRPr="00F40221">
              <w:rPr>
                <w:b/>
                <w:sz w:val="24"/>
                <w:szCs w:val="24"/>
              </w:rPr>
              <w:lastRenderedPageBreak/>
              <w:t>Workshop prompts</w:t>
            </w:r>
          </w:p>
        </w:tc>
        <w:tc>
          <w:tcPr>
            <w:tcW w:w="10120" w:type="dxa"/>
          </w:tcPr>
          <w:p w14:paraId="1A31F558" w14:textId="77777777" w:rsidR="00CB0A6C" w:rsidRPr="00F40221" w:rsidRDefault="003F1498" w:rsidP="00F40221">
            <w:pPr>
              <w:spacing w:after="120" w:line="276" w:lineRule="auto"/>
              <w:rPr>
                <w:sz w:val="24"/>
                <w:szCs w:val="24"/>
              </w:rPr>
            </w:pPr>
            <w:r w:rsidRPr="00F40221">
              <w:rPr>
                <w:sz w:val="24"/>
                <w:szCs w:val="24"/>
              </w:rPr>
              <w:t>What are the ethical issues created when senior public servants move to the private sector?</w:t>
            </w:r>
          </w:p>
          <w:p w14:paraId="18FDFABD" w14:textId="702BBFEC" w:rsidR="003F1498" w:rsidRPr="00F40221" w:rsidRDefault="00F46E70" w:rsidP="00F40221">
            <w:pPr>
              <w:spacing w:after="120" w:line="276" w:lineRule="auto"/>
              <w:rPr>
                <w:sz w:val="24"/>
                <w:szCs w:val="24"/>
              </w:rPr>
            </w:pPr>
            <w:r w:rsidRPr="00F40221">
              <w:rPr>
                <w:sz w:val="24"/>
                <w:szCs w:val="24"/>
              </w:rPr>
              <w:t>What works well overseas?</w:t>
            </w:r>
          </w:p>
        </w:tc>
      </w:tr>
    </w:tbl>
    <w:p w14:paraId="7E99A2E2" w14:textId="77777777" w:rsidR="00556EAF" w:rsidRDefault="00556EAF" w:rsidP="00435FE8"/>
    <w:p w14:paraId="6032842B" w14:textId="06462F6B" w:rsidR="00FD2AAB" w:rsidRDefault="00FD2AAB" w:rsidP="00FD2AAB">
      <w:pPr>
        <w:pStyle w:val="Heading3"/>
      </w:pPr>
      <w:r>
        <w:t>Agency practice and access to information</w:t>
      </w:r>
    </w:p>
    <w:tbl>
      <w:tblPr>
        <w:tblStyle w:val="TableGrid"/>
        <w:tblW w:w="0" w:type="auto"/>
        <w:tblLook w:val="04A0" w:firstRow="1" w:lastRow="0" w:firstColumn="1" w:lastColumn="0" w:noHBand="0" w:noVBand="1"/>
      </w:tblPr>
      <w:tblGrid>
        <w:gridCol w:w="2830"/>
        <w:gridCol w:w="10120"/>
      </w:tblGrid>
      <w:tr w:rsidR="00FD2AAB" w14:paraId="4F12167E" w14:textId="77777777" w:rsidTr="00537EAD">
        <w:tc>
          <w:tcPr>
            <w:tcW w:w="12950" w:type="dxa"/>
            <w:gridSpan w:val="2"/>
            <w:shd w:val="clear" w:color="auto" w:fill="E8E8E8" w:themeFill="background2"/>
          </w:tcPr>
          <w:p w14:paraId="09EC735B" w14:textId="77777777" w:rsidR="00FD2AAB" w:rsidRDefault="00FD2AAB" w:rsidP="00F40221">
            <w:pPr>
              <w:spacing w:after="120" w:line="276" w:lineRule="auto"/>
            </w:pPr>
            <w:r>
              <w:rPr>
                <w:b/>
                <w:bCs/>
              </w:rPr>
              <w:t>Protecting access to information</w:t>
            </w:r>
          </w:p>
        </w:tc>
      </w:tr>
      <w:tr w:rsidR="00FD2AAB" w14:paraId="16806438" w14:textId="77777777" w:rsidTr="00537EAD">
        <w:tc>
          <w:tcPr>
            <w:tcW w:w="2830" w:type="dxa"/>
          </w:tcPr>
          <w:p w14:paraId="03F5AE9A" w14:textId="77777777" w:rsidR="00FD2AAB" w:rsidRDefault="00FD2AAB" w:rsidP="00F40221">
            <w:pPr>
              <w:spacing w:after="120" w:line="276" w:lineRule="auto"/>
              <w:rPr>
                <w:b/>
                <w:bCs/>
              </w:rPr>
            </w:pPr>
            <w:r>
              <w:rPr>
                <w:b/>
                <w:bCs/>
              </w:rPr>
              <w:t>Problem</w:t>
            </w:r>
          </w:p>
        </w:tc>
        <w:tc>
          <w:tcPr>
            <w:tcW w:w="10120" w:type="dxa"/>
          </w:tcPr>
          <w:p w14:paraId="033800B9" w14:textId="77777777" w:rsidR="00FD2AAB" w:rsidRPr="00164304" w:rsidRDefault="00FD2AAB" w:rsidP="00F40221">
            <w:pPr>
              <w:spacing w:after="120" w:line="276" w:lineRule="auto"/>
            </w:pPr>
            <w:r>
              <w:t xml:space="preserve">Access to information is at the core of open government and is part of the public service principle to foster a culture of open government.  Agencies do not always adopt consistent practices to ensure that their use of new technologies or ways of working adheres to the Public Records Act and Official Information Act. </w:t>
            </w:r>
          </w:p>
        </w:tc>
      </w:tr>
      <w:tr w:rsidR="00FD2AAB" w14:paraId="40532A09" w14:textId="77777777" w:rsidTr="00537EAD">
        <w:tc>
          <w:tcPr>
            <w:tcW w:w="2830" w:type="dxa"/>
          </w:tcPr>
          <w:p w14:paraId="569175DC" w14:textId="77777777" w:rsidR="00FD2AAB" w:rsidRDefault="00FD2AAB" w:rsidP="00F40221">
            <w:pPr>
              <w:spacing w:after="120" w:line="276" w:lineRule="auto"/>
              <w:rPr>
                <w:b/>
                <w:bCs/>
              </w:rPr>
            </w:pPr>
            <w:r>
              <w:rPr>
                <w:b/>
                <w:bCs/>
              </w:rPr>
              <w:t>Potential commitment(s)</w:t>
            </w:r>
          </w:p>
        </w:tc>
        <w:tc>
          <w:tcPr>
            <w:tcW w:w="10120" w:type="dxa"/>
          </w:tcPr>
          <w:p w14:paraId="25636EA3" w14:textId="77777777" w:rsidR="00FD2AAB" w:rsidRPr="00435FE8" w:rsidRDefault="00FD2AAB" w:rsidP="00F40221">
            <w:pPr>
              <w:pStyle w:val="ListParagraph"/>
              <w:numPr>
                <w:ilvl w:val="0"/>
                <w:numId w:val="3"/>
              </w:numPr>
              <w:spacing w:after="120" w:line="276" w:lineRule="auto"/>
              <w:contextualSpacing w:val="0"/>
              <w:rPr>
                <w:b/>
                <w:bCs/>
              </w:rPr>
            </w:pPr>
            <w:r>
              <w:t>Use the PSC-led OIA forum to gather information on how agencies are approaching auto-deletion settings and use of encrypted messaging apps in the OIA context</w:t>
            </w:r>
          </w:p>
          <w:p w14:paraId="72982466" w14:textId="77777777" w:rsidR="00FD2AAB" w:rsidRPr="00435FE8" w:rsidRDefault="00FD2AAB" w:rsidP="00F40221">
            <w:pPr>
              <w:pStyle w:val="ListParagraph"/>
              <w:numPr>
                <w:ilvl w:val="0"/>
                <w:numId w:val="3"/>
              </w:numPr>
              <w:spacing w:after="120" w:line="276" w:lineRule="auto"/>
              <w:contextualSpacing w:val="0"/>
              <w:rPr>
                <w:b/>
                <w:bCs/>
              </w:rPr>
            </w:pPr>
            <w:r>
              <w:t xml:space="preserve">Refresh </w:t>
            </w:r>
            <w:proofErr w:type="gramStart"/>
            <w:r>
              <w:t>OIA  guidance</w:t>
            </w:r>
            <w:proofErr w:type="gramEnd"/>
            <w:r>
              <w:t>, and link it to the public service principle of fostering a culture of open government</w:t>
            </w:r>
          </w:p>
          <w:p w14:paraId="51B95E4E" w14:textId="77777777" w:rsidR="00FD2AAB" w:rsidRPr="00F319A1" w:rsidRDefault="00FD2AAB" w:rsidP="00F40221">
            <w:pPr>
              <w:pStyle w:val="ListParagraph"/>
              <w:numPr>
                <w:ilvl w:val="0"/>
                <w:numId w:val="3"/>
              </w:numPr>
              <w:spacing w:after="120" w:line="276" w:lineRule="auto"/>
              <w:contextualSpacing w:val="0"/>
              <w:rPr>
                <w:b/>
                <w:bCs/>
              </w:rPr>
            </w:pPr>
            <w:r>
              <w:t xml:space="preserve">Review proactive release practice across agencies, use this data to update guidance and consider options to embed better practice  </w:t>
            </w:r>
          </w:p>
          <w:p w14:paraId="51D441DE" w14:textId="77777777" w:rsidR="00FD2AAB" w:rsidRPr="00F90FBA" w:rsidRDefault="00FD2AAB" w:rsidP="00F40221">
            <w:pPr>
              <w:pStyle w:val="ListParagraph"/>
              <w:numPr>
                <w:ilvl w:val="0"/>
                <w:numId w:val="3"/>
              </w:numPr>
              <w:spacing w:after="120" w:line="276" w:lineRule="auto"/>
              <w:contextualSpacing w:val="0"/>
              <w:rPr>
                <w:b/>
                <w:bCs/>
              </w:rPr>
            </w:pPr>
            <w:r>
              <w:t>Investigate how AI may affect OIA compliance, including with the s23 protection for people’s right to access the</w:t>
            </w:r>
            <w:r w:rsidRPr="00A528C1">
              <w:t xml:space="preserve"> reasons for decisions</w:t>
            </w:r>
            <w:r>
              <w:t xml:space="preserve"> affecting them.</w:t>
            </w:r>
          </w:p>
          <w:p w14:paraId="4F63BCEA" w14:textId="25DE2E34" w:rsidR="00FD2AAB" w:rsidRPr="00487549" w:rsidRDefault="00F90FBA" w:rsidP="00F40221">
            <w:pPr>
              <w:pStyle w:val="ListParagraph"/>
              <w:numPr>
                <w:ilvl w:val="0"/>
                <w:numId w:val="3"/>
              </w:numPr>
              <w:spacing w:after="120" w:line="276" w:lineRule="auto"/>
              <w:contextualSpacing w:val="0"/>
            </w:pPr>
            <w:r w:rsidRPr="00487549">
              <w:t>Look at how</w:t>
            </w:r>
            <w:r w:rsidR="00487549">
              <w:t xml:space="preserve"> </w:t>
            </w:r>
            <w:r w:rsidR="002D5815">
              <w:t>personal</w:t>
            </w:r>
            <w:r w:rsidRPr="00487549">
              <w:t xml:space="preserve"> </w:t>
            </w:r>
            <w:r w:rsidR="00487549" w:rsidRPr="00487549">
              <w:t xml:space="preserve">information collected through technology </w:t>
            </w:r>
            <w:r w:rsidR="002D5815">
              <w:t xml:space="preserve">is protected from abuse and unauthorised sharing. </w:t>
            </w:r>
            <w:r w:rsidR="00FE7D07">
              <w:t xml:space="preserve">For </w:t>
            </w:r>
            <w:r w:rsidR="00B8529B">
              <w:t>example,</w:t>
            </w:r>
            <w:r w:rsidR="00FE7D07">
              <w:t xml:space="preserve"> </w:t>
            </w:r>
            <w:r w:rsidR="00B8529B">
              <w:t xml:space="preserve">data collection from </w:t>
            </w:r>
            <w:r w:rsidR="00FE7D07">
              <w:t>toll road camera</w:t>
            </w:r>
            <w:r w:rsidR="00B8529B">
              <w:t>s</w:t>
            </w:r>
            <w:r w:rsidR="00FE7D07">
              <w:t>.</w:t>
            </w:r>
          </w:p>
        </w:tc>
      </w:tr>
      <w:tr w:rsidR="00FD2AAB" w14:paraId="4788432A" w14:textId="77777777" w:rsidTr="00537EAD">
        <w:tc>
          <w:tcPr>
            <w:tcW w:w="2830" w:type="dxa"/>
          </w:tcPr>
          <w:p w14:paraId="51806A9E" w14:textId="77777777" w:rsidR="00FD2AAB" w:rsidRDefault="00FD2AAB" w:rsidP="00F40221">
            <w:pPr>
              <w:spacing w:after="120" w:line="276" w:lineRule="auto"/>
              <w:rPr>
                <w:b/>
                <w:bCs/>
              </w:rPr>
            </w:pPr>
            <w:r>
              <w:rPr>
                <w:b/>
                <w:bCs/>
              </w:rPr>
              <w:t>Integrity AP focus area</w:t>
            </w:r>
          </w:p>
        </w:tc>
        <w:tc>
          <w:tcPr>
            <w:tcW w:w="10120" w:type="dxa"/>
          </w:tcPr>
          <w:p w14:paraId="468716F3" w14:textId="77777777" w:rsidR="00FD2AAB" w:rsidRDefault="00FD2AAB" w:rsidP="00F40221">
            <w:pPr>
              <w:spacing w:after="120" w:line="276" w:lineRule="auto"/>
            </w:pPr>
            <w:r w:rsidRPr="00164304">
              <w:t>Resetting expected standards and improving agency practice</w:t>
            </w:r>
          </w:p>
        </w:tc>
      </w:tr>
      <w:tr w:rsidR="00FD2AAB" w14:paraId="44645906" w14:textId="77777777" w:rsidTr="00537EAD">
        <w:tc>
          <w:tcPr>
            <w:tcW w:w="2830" w:type="dxa"/>
          </w:tcPr>
          <w:p w14:paraId="518588C2" w14:textId="77777777" w:rsidR="00FD2AAB" w:rsidRDefault="00FD2AAB" w:rsidP="00F40221">
            <w:pPr>
              <w:spacing w:after="120" w:line="276" w:lineRule="auto"/>
              <w:rPr>
                <w:b/>
                <w:bCs/>
              </w:rPr>
            </w:pPr>
            <w:r>
              <w:rPr>
                <w:b/>
                <w:bCs/>
              </w:rPr>
              <w:t>Stakeholder agencies</w:t>
            </w:r>
          </w:p>
        </w:tc>
        <w:tc>
          <w:tcPr>
            <w:tcW w:w="10120" w:type="dxa"/>
          </w:tcPr>
          <w:p w14:paraId="0ADC66E7" w14:textId="77777777" w:rsidR="00FD2AAB" w:rsidRPr="00435FE8" w:rsidRDefault="00FD2AAB" w:rsidP="00F40221">
            <w:pPr>
              <w:spacing w:after="120" w:line="276" w:lineRule="auto"/>
            </w:pPr>
            <w:r>
              <w:t>Public Service Commission, Ombudsman, Ministry of Justice</w:t>
            </w:r>
          </w:p>
        </w:tc>
      </w:tr>
      <w:tr w:rsidR="00FD2AAB" w14:paraId="3C6050CA" w14:textId="77777777" w:rsidTr="00537EAD">
        <w:tc>
          <w:tcPr>
            <w:tcW w:w="2830" w:type="dxa"/>
          </w:tcPr>
          <w:p w14:paraId="58B8225B" w14:textId="77777777" w:rsidR="00FD2AAB" w:rsidRDefault="00FD2AAB" w:rsidP="00F40221">
            <w:pPr>
              <w:spacing w:after="120" w:line="276" w:lineRule="auto"/>
              <w:rPr>
                <w:b/>
                <w:bCs/>
              </w:rPr>
            </w:pPr>
            <w:r>
              <w:rPr>
                <w:b/>
                <w:bCs/>
              </w:rPr>
              <w:t>Workshop prompts</w:t>
            </w:r>
          </w:p>
        </w:tc>
        <w:tc>
          <w:tcPr>
            <w:tcW w:w="10120" w:type="dxa"/>
          </w:tcPr>
          <w:p w14:paraId="2B0ADB78" w14:textId="77777777" w:rsidR="00FD2AAB" w:rsidRDefault="00FD2AAB" w:rsidP="00F40221">
            <w:pPr>
              <w:spacing w:after="120" w:line="276" w:lineRule="auto"/>
            </w:pPr>
            <w:r>
              <w:t>Are there any new technologies or ways of working that are particularly challenging in the OIA context?</w:t>
            </w:r>
          </w:p>
          <w:p w14:paraId="5A925F56" w14:textId="77777777" w:rsidR="00FD2AAB" w:rsidRPr="00435FE8" w:rsidRDefault="00FD2AAB" w:rsidP="00F40221">
            <w:pPr>
              <w:spacing w:after="120" w:line="276" w:lineRule="auto"/>
            </w:pPr>
            <w:r>
              <w:t>If you could make one change to agency practice on open information, what would it be?</w:t>
            </w:r>
          </w:p>
        </w:tc>
      </w:tr>
    </w:tbl>
    <w:p w14:paraId="37EE2F26" w14:textId="77777777" w:rsidR="00CA7628" w:rsidRDefault="00CA7628" w:rsidP="00FD2AAB"/>
    <w:tbl>
      <w:tblPr>
        <w:tblStyle w:val="TableGrid"/>
        <w:tblW w:w="0" w:type="auto"/>
        <w:tblLook w:val="04A0" w:firstRow="1" w:lastRow="0" w:firstColumn="1" w:lastColumn="0" w:noHBand="0" w:noVBand="1"/>
      </w:tblPr>
      <w:tblGrid>
        <w:gridCol w:w="2830"/>
        <w:gridCol w:w="10120"/>
      </w:tblGrid>
      <w:tr w:rsidR="00FD2AAB" w14:paraId="62E7C13A" w14:textId="77777777" w:rsidTr="00537EAD">
        <w:tc>
          <w:tcPr>
            <w:tcW w:w="12950" w:type="dxa"/>
            <w:gridSpan w:val="2"/>
            <w:shd w:val="clear" w:color="auto" w:fill="E8E8E8" w:themeFill="background2"/>
          </w:tcPr>
          <w:p w14:paraId="14B79BFC" w14:textId="77777777" w:rsidR="00FD2AAB" w:rsidRPr="00983D9E" w:rsidRDefault="00FD2AAB" w:rsidP="00F40221">
            <w:pPr>
              <w:spacing w:after="120" w:line="276" w:lineRule="auto"/>
              <w:rPr>
                <w:b/>
                <w:bCs/>
              </w:rPr>
            </w:pPr>
            <w:r w:rsidRPr="00983D9E">
              <w:rPr>
                <w:b/>
                <w:bCs/>
              </w:rPr>
              <w:lastRenderedPageBreak/>
              <w:t>Upholding political neutrality and improving conflict of interest management</w:t>
            </w:r>
          </w:p>
        </w:tc>
      </w:tr>
      <w:tr w:rsidR="00FD2AAB" w14:paraId="0346BCD2" w14:textId="77777777" w:rsidTr="00537EAD">
        <w:tc>
          <w:tcPr>
            <w:tcW w:w="2830" w:type="dxa"/>
          </w:tcPr>
          <w:p w14:paraId="6FECAE20" w14:textId="77777777" w:rsidR="00FD2AAB" w:rsidRDefault="00FD2AAB" w:rsidP="00F40221">
            <w:pPr>
              <w:spacing w:after="120" w:line="276" w:lineRule="auto"/>
              <w:rPr>
                <w:b/>
                <w:bCs/>
              </w:rPr>
            </w:pPr>
            <w:r>
              <w:rPr>
                <w:b/>
                <w:bCs/>
              </w:rPr>
              <w:t>Problem</w:t>
            </w:r>
          </w:p>
        </w:tc>
        <w:tc>
          <w:tcPr>
            <w:tcW w:w="10120" w:type="dxa"/>
          </w:tcPr>
          <w:p w14:paraId="65E0FC95" w14:textId="7A4A8827" w:rsidR="00FD2AAB" w:rsidRPr="00164304" w:rsidRDefault="007464F3" w:rsidP="00F40221">
            <w:pPr>
              <w:spacing w:after="120" w:line="276" w:lineRule="auto"/>
            </w:pPr>
            <w:r>
              <w:t xml:space="preserve">There is variable practice across agencies on managing political neutrality and conflicts of interest. It can be hard for public servants to know how to </w:t>
            </w:r>
            <w:r w:rsidR="00682B69">
              <w:t>know how their interests outside of work (political activity, potential conflicts) can impact on their jobs</w:t>
            </w:r>
            <w:r w:rsidR="001F6359">
              <w:t xml:space="preserve">, and how to </w:t>
            </w:r>
            <w:r w:rsidR="00E576EB">
              <w:t>appropriately</w:t>
            </w:r>
            <w:r w:rsidR="001F6359">
              <w:t xml:space="preserve"> </w:t>
            </w:r>
            <w:r w:rsidR="00E576EB">
              <w:t>manage</w:t>
            </w:r>
            <w:r w:rsidR="001F6359">
              <w:t xml:space="preserve"> that</w:t>
            </w:r>
            <w:r w:rsidR="00E576EB">
              <w:t>.</w:t>
            </w:r>
          </w:p>
        </w:tc>
      </w:tr>
      <w:tr w:rsidR="00FD2AAB" w14:paraId="3C375A7C" w14:textId="77777777" w:rsidTr="00537EAD">
        <w:tc>
          <w:tcPr>
            <w:tcW w:w="2830" w:type="dxa"/>
          </w:tcPr>
          <w:p w14:paraId="4BC66BDA" w14:textId="77777777" w:rsidR="00FD2AAB" w:rsidRDefault="00FD2AAB" w:rsidP="00F40221">
            <w:pPr>
              <w:spacing w:after="120" w:line="276" w:lineRule="auto"/>
              <w:rPr>
                <w:b/>
                <w:bCs/>
              </w:rPr>
            </w:pPr>
            <w:r>
              <w:rPr>
                <w:b/>
                <w:bCs/>
              </w:rPr>
              <w:t>Potential commitment(s)</w:t>
            </w:r>
          </w:p>
        </w:tc>
        <w:tc>
          <w:tcPr>
            <w:tcW w:w="10120" w:type="dxa"/>
          </w:tcPr>
          <w:p w14:paraId="64EBFFAC" w14:textId="759F3924" w:rsidR="00FD2AAB" w:rsidRPr="007464F3" w:rsidRDefault="00C47880" w:rsidP="00F40221">
            <w:pPr>
              <w:pStyle w:val="ListParagraph"/>
              <w:numPr>
                <w:ilvl w:val="0"/>
                <w:numId w:val="3"/>
              </w:numPr>
              <w:spacing w:after="120" w:line="276" w:lineRule="auto"/>
              <w:contextualSpacing w:val="0"/>
              <w:rPr>
                <w:b/>
                <w:bCs/>
              </w:rPr>
            </w:pPr>
            <w:r>
              <w:t>Using agency data to target training to areas of low understanding or poor practice</w:t>
            </w:r>
            <w:r w:rsidR="007464F3">
              <w:t xml:space="preserve"> on conflicts of interest</w:t>
            </w:r>
          </w:p>
          <w:p w14:paraId="165C3641" w14:textId="1D9FCDDC" w:rsidR="007464F3" w:rsidRPr="00F851DD" w:rsidRDefault="007464F3" w:rsidP="00F40221">
            <w:pPr>
              <w:pStyle w:val="ListParagraph"/>
              <w:numPr>
                <w:ilvl w:val="0"/>
                <w:numId w:val="3"/>
              </w:numPr>
              <w:spacing w:after="120" w:line="276" w:lineRule="auto"/>
              <w:contextualSpacing w:val="0"/>
              <w:rPr>
                <w:b/>
                <w:bCs/>
              </w:rPr>
            </w:pPr>
            <w:r>
              <w:t xml:space="preserve">Use the refresh of the code of conduct to introduce new training on political </w:t>
            </w:r>
            <w:r w:rsidR="00E576EB">
              <w:t>neutrality and conflicts of interest</w:t>
            </w:r>
          </w:p>
          <w:p w14:paraId="0C949C28" w14:textId="35633E8D" w:rsidR="00F851DD" w:rsidRPr="00F851DD" w:rsidRDefault="00F851DD" w:rsidP="00F40221">
            <w:pPr>
              <w:pStyle w:val="ListParagraph"/>
              <w:numPr>
                <w:ilvl w:val="0"/>
                <w:numId w:val="3"/>
              </w:numPr>
              <w:spacing w:after="120" w:line="276" w:lineRule="auto"/>
              <w:contextualSpacing w:val="0"/>
            </w:pPr>
            <w:r>
              <w:t>Develop practice for the centralised reporting of serious misconduct to the Public Service Commission</w:t>
            </w:r>
          </w:p>
        </w:tc>
      </w:tr>
      <w:tr w:rsidR="00FD2AAB" w14:paraId="4A135210" w14:textId="77777777" w:rsidTr="00537EAD">
        <w:tc>
          <w:tcPr>
            <w:tcW w:w="2830" w:type="dxa"/>
          </w:tcPr>
          <w:p w14:paraId="32972A7A" w14:textId="77777777" w:rsidR="00FD2AAB" w:rsidRDefault="00FD2AAB" w:rsidP="00F40221">
            <w:pPr>
              <w:spacing w:after="120" w:line="276" w:lineRule="auto"/>
              <w:rPr>
                <w:b/>
                <w:bCs/>
              </w:rPr>
            </w:pPr>
            <w:r>
              <w:rPr>
                <w:b/>
                <w:bCs/>
              </w:rPr>
              <w:t>Integrity AP focus area</w:t>
            </w:r>
          </w:p>
        </w:tc>
        <w:tc>
          <w:tcPr>
            <w:tcW w:w="10120" w:type="dxa"/>
          </w:tcPr>
          <w:p w14:paraId="6C456595" w14:textId="77777777" w:rsidR="00FD2AAB" w:rsidRDefault="00FD2AAB" w:rsidP="00F40221">
            <w:pPr>
              <w:spacing w:after="120" w:line="276" w:lineRule="auto"/>
            </w:pPr>
            <w:r w:rsidRPr="00164304">
              <w:t>Resetting expected standards and improving agency practice</w:t>
            </w:r>
          </w:p>
          <w:p w14:paraId="3D56E81C" w14:textId="77777777" w:rsidR="00FD2AAB" w:rsidRDefault="00FD2AAB" w:rsidP="00F40221">
            <w:pPr>
              <w:spacing w:after="120" w:line="276" w:lineRule="auto"/>
            </w:pPr>
            <w:r w:rsidRPr="004D19E3">
              <w:t>Strengthening conflict of interest management</w:t>
            </w:r>
          </w:p>
        </w:tc>
      </w:tr>
      <w:tr w:rsidR="00FD2AAB" w14:paraId="6EE91262" w14:textId="77777777" w:rsidTr="00537EAD">
        <w:tc>
          <w:tcPr>
            <w:tcW w:w="2830" w:type="dxa"/>
          </w:tcPr>
          <w:p w14:paraId="62400C1F" w14:textId="77777777" w:rsidR="00FD2AAB" w:rsidRDefault="00FD2AAB" w:rsidP="00F40221">
            <w:pPr>
              <w:spacing w:after="120" w:line="276" w:lineRule="auto"/>
              <w:rPr>
                <w:b/>
                <w:bCs/>
              </w:rPr>
            </w:pPr>
            <w:r>
              <w:rPr>
                <w:b/>
                <w:bCs/>
              </w:rPr>
              <w:t>Stakeholder agencies</w:t>
            </w:r>
          </w:p>
        </w:tc>
        <w:tc>
          <w:tcPr>
            <w:tcW w:w="10120" w:type="dxa"/>
          </w:tcPr>
          <w:p w14:paraId="4E1DF912" w14:textId="77777777" w:rsidR="00FD2AAB" w:rsidRPr="00435FE8" w:rsidRDefault="00FD2AAB" w:rsidP="00F40221">
            <w:pPr>
              <w:spacing w:after="120" w:line="276" w:lineRule="auto"/>
            </w:pPr>
            <w:r>
              <w:t>Public Service Commission</w:t>
            </w:r>
          </w:p>
        </w:tc>
      </w:tr>
      <w:tr w:rsidR="00FD2AAB" w14:paraId="256F0878" w14:textId="77777777" w:rsidTr="00537EAD">
        <w:tc>
          <w:tcPr>
            <w:tcW w:w="2830" w:type="dxa"/>
          </w:tcPr>
          <w:p w14:paraId="7E733A8D" w14:textId="77777777" w:rsidR="00FD2AAB" w:rsidRDefault="00FD2AAB" w:rsidP="00F40221">
            <w:pPr>
              <w:spacing w:after="120" w:line="276" w:lineRule="auto"/>
              <w:rPr>
                <w:b/>
                <w:bCs/>
              </w:rPr>
            </w:pPr>
            <w:r>
              <w:rPr>
                <w:b/>
                <w:bCs/>
              </w:rPr>
              <w:t>Workshop prompts</w:t>
            </w:r>
          </w:p>
        </w:tc>
        <w:tc>
          <w:tcPr>
            <w:tcW w:w="10120" w:type="dxa"/>
          </w:tcPr>
          <w:p w14:paraId="2A3C23C3" w14:textId="77777777" w:rsidR="00FD2AAB" w:rsidRDefault="007C1E8F" w:rsidP="00F40221">
            <w:pPr>
              <w:spacing w:after="120" w:line="276" w:lineRule="auto"/>
            </w:pPr>
            <w:r>
              <w:t>Are there certain types of conflict of interest that are especially common, or problematic?</w:t>
            </w:r>
          </w:p>
          <w:p w14:paraId="259A244B" w14:textId="15E1D076" w:rsidR="007C1E8F" w:rsidRPr="00435FE8" w:rsidRDefault="003C0645" w:rsidP="00F40221">
            <w:pPr>
              <w:spacing w:after="120" w:line="276" w:lineRule="auto"/>
            </w:pPr>
            <w:r>
              <w:t>What is missing from the</w:t>
            </w:r>
            <w:r w:rsidR="00FF4F0C">
              <w:t xml:space="preserve"> </w:t>
            </w:r>
            <w:hyperlink r:id="rId14" w:history="1">
              <w:r w:rsidR="00FF4F0C" w:rsidRPr="003C0645">
                <w:rPr>
                  <w:rStyle w:val="Hyperlink"/>
                </w:rPr>
                <w:t>current guidelines on political neutrality</w:t>
              </w:r>
            </w:hyperlink>
            <w:r w:rsidR="00FF4F0C">
              <w:t>?</w:t>
            </w:r>
          </w:p>
        </w:tc>
      </w:tr>
    </w:tbl>
    <w:p w14:paraId="74F22E70" w14:textId="77777777" w:rsidR="00FD2AAB" w:rsidRDefault="00FD2AAB" w:rsidP="00435FE8"/>
    <w:sectPr w:rsidR="00FD2AAB" w:rsidSect="00556EAF">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FAC3" w14:textId="77777777" w:rsidR="00965ACB" w:rsidRDefault="00965ACB" w:rsidP="006B512B">
      <w:pPr>
        <w:spacing w:after="0" w:line="240" w:lineRule="auto"/>
      </w:pPr>
      <w:r>
        <w:separator/>
      </w:r>
    </w:p>
  </w:endnote>
  <w:endnote w:type="continuationSeparator" w:id="0">
    <w:p w14:paraId="1E2A1954" w14:textId="77777777" w:rsidR="00965ACB" w:rsidRDefault="00965ACB" w:rsidP="006B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69634"/>
      <w:docPartObj>
        <w:docPartGallery w:val="Page Numbers (Bottom of Page)"/>
        <w:docPartUnique/>
      </w:docPartObj>
    </w:sdtPr>
    <w:sdtEndPr>
      <w:rPr>
        <w:noProof/>
      </w:rPr>
    </w:sdtEndPr>
    <w:sdtContent>
      <w:p w14:paraId="061B79C8" w14:textId="508E0153" w:rsidR="006B512B" w:rsidRDefault="006B51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9C6B2" w14:textId="0AAA4160" w:rsidR="006B512B" w:rsidRDefault="00611E8E" w:rsidP="006B512B">
    <w:pPr>
      <w:pStyle w:val="Footer"/>
      <w:jc w:val="center"/>
    </w:pPr>
    <w:r>
      <w:t>FOR DISCUSSION</w:t>
    </w:r>
    <w:r w:rsidR="006B512B">
      <w:t xml:space="preserve"> – NOT GOVERNMENT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4697" w14:textId="77777777" w:rsidR="00965ACB" w:rsidRDefault="00965ACB" w:rsidP="006B512B">
      <w:pPr>
        <w:spacing w:after="0" w:line="240" w:lineRule="auto"/>
      </w:pPr>
      <w:r>
        <w:separator/>
      </w:r>
    </w:p>
  </w:footnote>
  <w:footnote w:type="continuationSeparator" w:id="0">
    <w:p w14:paraId="538FAF93" w14:textId="77777777" w:rsidR="00965ACB" w:rsidRDefault="00965ACB" w:rsidP="006B5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CAB8" w14:textId="038B4140" w:rsidR="006B512B" w:rsidRPr="00F40221" w:rsidRDefault="00611E8E" w:rsidP="00556EAF">
    <w:pPr>
      <w:pStyle w:val="Footer"/>
      <w:jc w:val="center"/>
      <w:rPr>
        <w:b/>
      </w:rPr>
    </w:pPr>
    <w:r w:rsidRPr="00F40221">
      <w:rPr>
        <w:b/>
      </w:rPr>
      <w:t>FOR DISCUSSION</w:t>
    </w:r>
    <w:r w:rsidR="006B512B" w:rsidRPr="00F40221">
      <w:rPr>
        <w:b/>
      </w:rPr>
      <w:t xml:space="preserve"> –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64A"/>
    <w:multiLevelType w:val="hybridMultilevel"/>
    <w:tmpl w:val="B628B1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00A58DB"/>
    <w:multiLevelType w:val="hybridMultilevel"/>
    <w:tmpl w:val="0E669C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088021C"/>
    <w:multiLevelType w:val="multilevel"/>
    <w:tmpl w:val="1C5C7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B58DC"/>
    <w:multiLevelType w:val="hybridMultilevel"/>
    <w:tmpl w:val="4D947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39E7653"/>
    <w:multiLevelType w:val="hybridMultilevel"/>
    <w:tmpl w:val="3A2277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14366D2"/>
    <w:multiLevelType w:val="hybridMultilevel"/>
    <w:tmpl w:val="A746B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86A5E5B"/>
    <w:multiLevelType w:val="hybridMultilevel"/>
    <w:tmpl w:val="4510FF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2A5265D"/>
    <w:multiLevelType w:val="multilevel"/>
    <w:tmpl w:val="E2AE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405768">
    <w:abstractNumId w:val="7"/>
  </w:num>
  <w:num w:numId="2" w16cid:durableId="59792765">
    <w:abstractNumId w:val="5"/>
  </w:num>
  <w:num w:numId="3" w16cid:durableId="880246737">
    <w:abstractNumId w:val="6"/>
  </w:num>
  <w:num w:numId="4" w16cid:durableId="902834591">
    <w:abstractNumId w:val="2"/>
  </w:num>
  <w:num w:numId="5" w16cid:durableId="1828277336">
    <w:abstractNumId w:val="1"/>
  </w:num>
  <w:num w:numId="6" w16cid:durableId="1648439606">
    <w:abstractNumId w:val="4"/>
  </w:num>
  <w:num w:numId="7" w16cid:durableId="539560360">
    <w:abstractNumId w:val="3"/>
  </w:num>
  <w:num w:numId="8" w16cid:durableId="15861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04"/>
    <w:rsid w:val="00001D11"/>
    <w:rsid w:val="00013403"/>
    <w:rsid w:val="0001743C"/>
    <w:rsid w:val="00030916"/>
    <w:rsid w:val="00041533"/>
    <w:rsid w:val="0004684C"/>
    <w:rsid w:val="00047B8E"/>
    <w:rsid w:val="00053740"/>
    <w:rsid w:val="00073F70"/>
    <w:rsid w:val="000875BE"/>
    <w:rsid w:val="00092241"/>
    <w:rsid w:val="00095483"/>
    <w:rsid w:val="000A505B"/>
    <w:rsid w:val="000C2639"/>
    <w:rsid w:val="000F66AD"/>
    <w:rsid w:val="000F693F"/>
    <w:rsid w:val="00117E82"/>
    <w:rsid w:val="00130647"/>
    <w:rsid w:val="001555C7"/>
    <w:rsid w:val="001639A7"/>
    <w:rsid w:val="00164304"/>
    <w:rsid w:val="00170317"/>
    <w:rsid w:val="001B0AE5"/>
    <w:rsid w:val="001C1103"/>
    <w:rsid w:val="001C441E"/>
    <w:rsid w:val="001D24A4"/>
    <w:rsid w:val="001F6359"/>
    <w:rsid w:val="00207157"/>
    <w:rsid w:val="002234DA"/>
    <w:rsid w:val="00257C8B"/>
    <w:rsid w:val="00282684"/>
    <w:rsid w:val="00295A4D"/>
    <w:rsid w:val="002B01AA"/>
    <w:rsid w:val="002B6903"/>
    <w:rsid w:val="002C7ADC"/>
    <w:rsid w:val="002D5815"/>
    <w:rsid w:val="002E19BA"/>
    <w:rsid w:val="002E3108"/>
    <w:rsid w:val="0030742A"/>
    <w:rsid w:val="0031306F"/>
    <w:rsid w:val="00322644"/>
    <w:rsid w:val="003254A7"/>
    <w:rsid w:val="0034117F"/>
    <w:rsid w:val="003417CB"/>
    <w:rsid w:val="003455E3"/>
    <w:rsid w:val="00351499"/>
    <w:rsid w:val="003575B8"/>
    <w:rsid w:val="0036459A"/>
    <w:rsid w:val="00392FD1"/>
    <w:rsid w:val="003A6419"/>
    <w:rsid w:val="003B59A0"/>
    <w:rsid w:val="003C0645"/>
    <w:rsid w:val="003E5E8D"/>
    <w:rsid w:val="003F1498"/>
    <w:rsid w:val="003F67F4"/>
    <w:rsid w:val="00430F30"/>
    <w:rsid w:val="0043178F"/>
    <w:rsid w:val="00435FE8"/>
    <w:rsid w:val="00463501"/>
    <w:rsid w:val="00463C5C"/>
    <w:rsid w:val="004653CC"/>
    <w:rsid w:val="0047199B"/>
    <w:rsid w:val="00487549"/>
    <w:rsid w:val="004A39EB"/>
    <w:rsid w:val="004B0BCD"/>
    <w:rsid w:val="004B661C"/>
    <w:rsid w:val="004D713D"/>
    <w:rsid w:val="004E3420"/>
    <w:rsid w:val="004E5658"/>
    <w:rsid w:val="005077E3"/>
    <w:rsid w:val="00556EAF"/>
    <w:rsid w:val="00564081"/>
    <w:rsid w:val="005644B0"/>
    <w:rsid w:val="00592E01"/>
    <w:rsid w:val="00597EE1"/>
    <w:rsid w:val="005C26F4"/>
    <w:rsid w:val="0060525A"/>
    <w:rsid w:val="00611E8E"/>
    <w:rsid w:val="00613CC4"/>
    <w:rsid w:val="00634932"/>
    <w:rsid w:val="00646625"/>
    <w:rsid w:val="006525A1"/>
    <w:rsid w:val="00660DE1"/>
    <w:rsid w:val="006616F2"/>
    <w:rsid w:val="00682B69"/>
    <w:rsid w:val="00682CB7"/>
    <w:rsid w:val="00683928"/>
    <w:rsid w:val="006B512B"/>
    <w:rsid w:val="006C19FF"/>
    <w:rsid w:val="006C7E0F"/>
    <w:rsid w:val="00723FB2"/>
    <w:rsid w:val="007464F3"/>
    <w:rsid w:val="0077692B"/>
    <w:rsid w:val="00785525"/>
    <w:rsid w:val="007C1E8F"/>
    <w:rsid w:val="007D66B1"/>
    <w:rsid w:val="00802550"/>
    <w:rsid w:val="008228A1"/>
    <w:rsid w:val="0088024B"/>
    <w:rsid w:val="00893ABB"/>
    <w:rsid w:val="008C1AED"/>
    <w:rsid w:val="008D4B7B"/>
    <w:rsid w:val="008F4520"/>
    <w:rsid w:val="0090051A"/>
    <w:rsid w:val="009169B6"/>
    <w:rsid w:val="00916FDA"/>
    <w:rsid w:val="0093016A"/>
    <w:rsid w:val="00965ACB"/>
    <w:rsid w:val="00983D9E"/>
    <w:rsid w:val="009B0832"/>
    <w:rsid w:val="009B213C"/>
    <w:rsid w:val="009B4281"/>
    <w:rsid w:val="009B5EBF"/>
    <w:rsid w:val="009F69F5"/>
    <w:rsid w:val="00A0592D"/>
    <w:rsid w:val="00A10564"/>
    <w:rsid w:val="00A11711"/>
    <w:rsid w:val="00A171F6"/>
    <w:rsid w:val="00A24915"/>
    <w:rsid w:val="00A42173"/>
    <w:rsid w:val="00A66D54"/>
    <w:rsid w:val="00A77310"/>
    <w:rsid w:val="00A83880"/>
    <w:rsid w:val="00A95C77"/>
    <w:rsid w:val="00AB1E8D"/>
    <w:rsid w:val="00AB51AC"/>
    <w:rsid w:val="00AC55A2"/>
    <w:rsid w:val="00AD1225"/>
    <w:rsid w:val="00AE28AE"/>
    <w:rsid w:val="00B00D87"/>
    <w:rsid w:val="00B05766"/>
    <w:rsid w:val="00B15BD1"/>
    <w:rsid w:val="00B161FE"/>
    <w:rsid w:val="00B17529"/>
    <w:rsid w:val="00B32B7F"/>
    <w:rsid w:val="00B62E4F"/>
    <w:rsid w:val="00B7677F"/>
    <w:rsid w:val="00B76A29"/>
    <w:rsid w:val="00B8529B"/>
    <w:rsid w:val="00BB5F4B"/>
    <w:rsid w:val="00BD138C"/>
    <w:rsid w:val="00BF414D"/>
    <w:rsid w:val="00C03C45"/>
    <w:rsid w:val="00C04C21"/>
    <w:rsid w:val="00C23449"/>
    <w:rsid w:val="00C30C68"/>
    <w:rsid w:val="00C35287"/>
    <w:rsid w:val="00C37197"/>
    <w:rsid w:val="00C47880"/>
    <w:rsid w:val="00C51234"/>
    <w:rsid w:val="00C54EA6"/>
    <w:rsid w:val="00C56104"/>
    <w:rsid w:val="00C57455"/>
    <w:rsid w:val="00CA7628"/>
    <w:rsid w:val="00CB0A6C"/>
    <w:rsid w:val="00CB5C28"/>
    <w:rsid w:val="00CB6505"/>
    <w:rsid w:val="00CE0B05"/>
    <w:rsid w:val="00CE6157"/>
    <w:rsid w:val="00CF6A29"/>
    <w:rsid w:val="00D05F52"/>
    <w:rsid w:val="00D27E7E"/>
    <w:rsid w:val="00D3335B"/>
    <w:rsid w:val="00D3429E"/>
    <w:rsid w:val="00D4779C"/>
    <w:rsid w:val="00D57973"/>
    <w:rsid w:val="00D62674"/>
    <w:rsid w:val="00D65199"/>
    <w:rsid w:val="00D80F10"/>
    <w:rsid w:val="00D853D4"/>
    <w:rsid w:val="00DA44ED"/>
    <w:rsid w:val="00DC6A9B"/>
    <w:rsid w:val="00DD4181"/>
    <w:rsid w:val="00DF09F1"/>
    <w:rsid w:val="00DF3C49"/>
    <w:rsid w:val="00E07E25"/>
    <w:rsid w:val="00E247C1"/>
    <w:rsid w:val="00E576EB"/>
    <w:rsid w:val="00E7190C"/>
    <w:rsid w:val="00E82164"/>
    <w:rsid w:val="00ED7259"/>
    <w:rsid w:val="00EE02F8"/>
    <w:rsid w:val="00F02A6E"/>
    <w:rsid w:val="00F26151"/>
    <w:rsid w:val="00F319A1"/>
    <w:rsid w:val="00F34A63"/>
    <w:rsid w:val="00F40221"/>
    <w:rsid w:val="00F468F0"/>
    <w:rsid w:val="00F46E70"/>
    <w:rsid w:val="00F851DD"/>
    <w:rsid w:val="00F86372"/>
    <w:rsid w:val="00F90FBA"/>
    <w:rsid w:val="00FC6731"/>
    <w:rsid w:val="00FD11A0"/>
    <w:rsid w:val="00FD2AAB"/>
    <w:rsid w:val="00FE2AF0"/>
    <w:rsid w:val="00FE7683"/>
    <w:rsid w:val="00FE7D07"/>
    <w:rsid w:val="00FF4F0C"/>
    <w:rsid w:val="01CE86A3"/>
    <w:rsid w:val="2C61A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C4F8"/>
  <w15:chartTrackingRefBased/>
  <w15:docId w15:val="{5D5CBDFA-AE26-451D-B4B3-0A0E9745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2"/>
    <w:qFormat/>
    <w:rsid w:val="00013403"/>
    <w:rPr>
      <w:rFonts w:ascii="Source Sans Pro" w:hAnsi="Source Sans Pro"/>
    </w:rPr>
  </w:style>
  <w:style w:type="paragraph" w:styleId="Heading1">
    <w:name w:val="heading 1"/>
    <w:basedOn w:val="Normal"/>
    <w:next w:val="Normal"/>
    <w:link w:val="Heading1Char"/>
    <w:uiPriority w:val="9"/>
    <w:qFormat/>
    <w:rsid w:val="00164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4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4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4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04"/>
    <w:rPr>
      <w:rFonts w:eastAsiaTheme="majorEastAsia" w:cstheme="majorBidi"/>
      <w:color w:val="272727" w:themeColor="text1" w:themeTint="D8"/>
    </w:rPr>
  </w:style>
  <w:style w:type="paragraph" w:styleId="Title">
    <w:name w:val="Title"/>
    <w:basedOn w:val="Normal"/>
    <w:next w:val="Normal"/>
    <w:link w:val="TitleChar"/>
    <w:uiPriority w:val="10"/>
    <w:qFormat/>
    <w:rsid w:val="00164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04"/>
    <w:pPr>
      <w:spacing w:before="160"/>
      <w:jc w:val="center"/>
    </w:pPr>
    <w:rPr>
      <w:i/>
      <w:iCs/>
      <w:color w:val="404040" w:themeColor="text1" w:themeTint="BF"/>
    </w:rPr>
  </w:style>
  <w:style w:type="character" w:customStyle="1" w:styleId="QuoteChar">
    <w:name w:val="Quote Char"/>
    <w:basedOn w:val="DefaultParagraphFont"/>
    <w:link w:val="Quote"/>
    <w:uiPriority w:val="29"/>
    <w:rsid w:val="00164304"/>
    <w:rPr>
      <w:i/>
      <w:iCs/>
      <w:color w:val="404040" w:themeColor="text1" w:themeTint="BF"/>
    </w:rPr>
  </w:style>
  <w:style w:type="paragraph" w:styleId="ListParagraph">
    <w:name w:val="List Paragraph"/>
    <w:basedOn w:val="Normal"/>
    <w:uiPriority w:val="34"/>
    <w:qFormat/>
    <w:rsid w:val="00164304"/>
    <w:pPr>
      <w:ind w:left="720"/>
      <w:contextualSpacing/>
    </w:pPr>
  </w:style>
  <w:style w:type="character" w:styleId="IntenseEmphasis">
    <w:name w:val="Intense Emphasis"/>
    <w:basedOn w:val="DefaultParagraphFont"/>
    <w:uiPriority w:val="21"/>
    <w:qFormat/>
    <w:rsid w:val="00164304"/>
    <w:rPr>
      <w:i/>
      <w:iCs/>
      <w:color w:val="0F4761" w:themeColor="accent1" w:themeShade="BF"/>
    </w:rPr>
  </w:style>
  <w:style w:type="paragraph" w:styleId="IntenseQuote">
    <w:name w:val="Intense Quote"/>
    <w:basedOn w:val="Normal"/>
    <w:next w:val="Normal"/>
    <w:link w:val="IntenseQuoteChar"/>
    <w:uiPriority w:val="30"/>
    <w:qFormat/>
    <w:rsid w:val="00164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304"/>
    <w:rPr>
      <w:i/>
      <w:iCs/>
      <w:color w:val="0F4761" w:themeColor="accent1" w:themeShade="BF"/>
    </w:rPr>
  </w:style>
  <w:style w:type="character" w:styleId="IntenseReference">
    <w:name w:val="Intense Reference"/>
    <w:basedOn w:val="DefaultParagraphFont"/>
    <w:uiPriority w:val="32"/>
    <w:qFormat/>
    <w:rsid w:val="00164304"/>
    <w:rPr>
      <w:b/>
      <w:bCs/>
      <w:smallCaps/>
      <w:color w:val="0F4761" w:themeColor="accent1" w:themeShade="BF"/>
      <w:spacing w:val="5"/>
    </w:rPr>
  </w:style>
  <w:style w:type="table" w:styleId="TableGrid">
    <w:name w:val="Table Grid"/>
    <w:basedOn w:val="TableNormal"/>
    <w:uiPriority w:val="39"/>
    <w:rsid w:val="0016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483"/>
    <w:pPr>
      <w:spacing w:after="0" w:line="240" w:lineRule="auto"/>
    </w:pPr>
  </w:style>
  <w:style w:type="character" w:styleId="Hyperlink">
    <w:name w:val="Hyperlink"/>
    <w:basedOn w:val="DefaultParagraphFont"/>
    <w:uiPriority w:val="99"/>
    <w:unhideWhenUsed/>
    <w:rsid w:val="0034117F"/>
    <w:rPr>
      <w:color w:val="467886" w:themeColor="hyperlink"/>
      <w:u w:val="single"/>
    </w:rPr>
  </w:style>
  <w:style w:type="character" w:styleId="UnresolvedMention">
    <w:name w:val="Unresolved Mention"/>
    <w:basedOn w:val="DefaultParagraphFont"/>
    <w:uiPriority w:val="99"/>
    <w:semiHidden/>
    <w:unhideWhenUsed/>
    <w:rsid w:val="0034117F"/>
    <w:rPr>
      <w:color w:val="605E5C"/>
      <w:shd w:val="clear" w:color="auto" w:fill="E1DFDD"/>
    </w:rPr>
  </w:style>
  <w:style w:type="character" w:styleId="CommentReference">
    <w:name w:val="annotation reference"/>
    <w:basedOn w:val="DefaultParagraphFont"/>
    <w:uiPriority w:val="99"/>
    <w:semiHidden/>
    <w:unhideWhenUsed/>
    <w:rsid w:val="0004684C"/>
    <w:rPr>
      <w:sz w:val="16"/>
      <w:szCs w:val="16"/>
    </w:rPr>
  </w:style>
  <w:style w:type="paragraph" w:styleId="CommentText">
    <w:name w:val="annotation text"/>
    <w:basedOn w:val="Normal"/>
    <w:link w:val="CommentTextChar"/>
    <w:uiPriority w:val="99"/>
    <w:unhideWhenUsed/>
    <w:rsid w:val="0004684C"/>
    <w:pPr>
      <w:spacing w:line="240" w:lineRule="auto"/>
    </w:pPr>
    <w:rPr>
      <w:sz w:val="20"/>
      <w:szCs w:val="20"/>
    </w:rPr>
  </w:style>
  <w:style w:type="character" w:customStyle="1" w:styleId="CommentTextChar">
    <w:name w:val="Comment Text Char"/>
    <w:basedOn w:val="DefaultParagraphFont"/>
    <w:link w:val="CommentText"/>
    <w:uiPriority w:val="99"/>
    <w:rsid w:val="0004684C"/>
    <w:rPr>
      <w:sz w:val="20"/>
      <w:szCs w:val="20"/>
    </w:rPr>
  </w:style>
  <w:style w:type="paragraph" w:styleId="CommentSubject">
    <w:name w:val="annotation subject"/>
    <w:basedOn w:val="CommentText"/>
    <w:next w:val="CommentText"/>
    <w:link w:val="CommentSubjectChar"/>
    <w:uiPriority w:val="99"/>
    <w:semiHidden/>
    <w:unhideWhenUsed/>
    <w:rsid w:val="0004684C"/>
    <w:rPr>
      <w:b/>
      <w:bCs/>
    </w:rPr>
  </w:style>
  <w:style w:type="character" w:customStyle="1" w:styleId="CommentSubjectChar">
    <w:name w:val="Comment Subject Char"/>
    <w:basedOn w:val="CommentTextChar"/>
    <w:link w:val="CommentSubject"/>
    <w:uiPriority w:val="99"/>
    <w:semiHidden/>
    <w:rsid w:val="0004684C"/>
    <w:rPr>
      <w:b/>
      <w:bCs/>
      <w:sz w:val="20"/>
      <w:szCs w:val="20"/>
    </w:rPr>
  </w:style>
  <w:style w:type="paragraph" w:styleId="Header">
    <w:name w:val="header"/>
    <w:basedOn w:val="Normal"/>
    <w:link w:val="HeaderChar"/>
    <w:uiPriority w:val="99"/>
    <w:unhideWhenUsed/>
    <w:rsid w:val="006B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12B"/>
  </w:style>
  <w:style w:type="paragraph" w:styleId="Footer">
    <w:name w:val="footer"/>
    <w:basedOn w:val="Normal"/>
    <w:link w:val="FooterChar"/>
    <w:uiPriority w:val="99"/>
    <w:unhideWhenUsed/>
    <w:rsid w:val="006B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ccc.qld.gov.au%2Fabout-corruption%2F12-fundamental-principles&amp;data=05%7C02%7CLydia.McKinnon%40publicservice.govt.nz%7C75a4b4e2834e4b291f0608ddf0cf486e%7C41e14a91587d4fbf8dead6aea7148019%7C0%7C0%7C638931495867628339%7CUnknown%7CTWFpbGZsb3d8eyJFbXB0eU1hcGkiOnRydWUsIlYiOiIwLjAuMDAwMCIsIlAiOiJXaW4zMiIsIkFOIjoiTWFpbCIsIldUIjoyfQ%3D%3D%7C0%7C%7C%7C&amp;sdata=uNNPoe13PrMPHZhiyU3a9E3aCX%2FLlZZBi12c5CijXI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o.govt.nz/fraud-and-corruption/what-we-do/anti-corruption-taskforce-pil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pnz@publicservice.govt.n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service.govt.nz/guidance/principles-guidance/politically-neu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TKMIES-1962100866-9787</_dlc_DocId>
    <_dlc_DocIdUrl xmlns="063a132e-7922-4f1a-9ebb-16b3e240ff44">
      <Url>https://sscnz.sharepoint.com/sites/IES-SP/_layouts/15/DocIdRedir.aspx?ID=TKMIES-1962100866-9787</Url>
      <Description>TKMIES-1962100866-9787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F3F9A-7251-470F-8C87-D0ED4F9DC3FA}">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2.xml><?xml version="1.0" encoding="utf-8"?>
<ds:datastoreItem xmlns:ds="http://schemas.openxmlformats.org/officeDocument/2006/customXml" ds:itemID="{38D61D55-4287-44E4-B425-9AB6C4A3229F}">
  <ds:schemaRefs>
    <ds:schemaRef ds:uri="http://schemas.microsoft.com/sharepoint/v3/contenttype/forms"/>
  </ds:schemaRefs>
</ds:datastoreItem>
</file>

<file path=customXml/itemProps3.xml><?xml version="1.0" encoding="utf-8"?>
<ds:datastoreItem xmlns:ds="http://schemas.openxmlformats.org/officeDocument/2006/customXml" ds:itemID="{35C14585-C031-4B09-A898-AD242DDDD2FE}">
  <ds:schemaRefs>
    <ds:schemaRef ds:uri="http://schemas.microsoft.com/sharepoint/events"/>
  </ds:schemaRefs>
</ds:datastoreItem>
</file>

<file path=customXml/itemProps4.xml><?xml version="1.0" encoding="utf-8"?>
<ds:datastoreItem xmlns:ds="http://schemas.openxmlformats.org/officeDocument/2006/customXml" ds:itemID="{202E9B55-08EA-4DAB-95DC-27791915DE92}"/>
</file>

<file path=docProps/app.xml><?xml version="1.0" encoding="utf-8"?>
<Properties xmlns="http://schemas.openxmlformats.org/officeDocument/2006/extended-properties" xmlns:vt="http://schemas.openxmlformats.org/officeDocument/2006/docPropsVTypes">
  <Template>Normal</Template>
  <TotalTime>216</TotalTime>
  <Pages>5</Pages>
  <Words>1007</Words>
  <Characters>5984</Characters>
  <DocSecurity>0</DocSecurity>
  <Lines>134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2025-09-22T23:03:00Z</cp:lastPrinted>
  <dcterms:created xsi:type="dcterms:W3CDTF">2025-09-15T06:17:00Z</dcterms:created>
  <dcterms:modified xsi:type="dcterms:W3CDTF">2025-10-20T04:59:00Z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MediaServiceImageTags">
    <vt:lpwstr/>
  </property>
  <property fmtid="{D5CDD505-2E9C-101B-9397-08002B2CF9AE}" pid="4" name="Sub_x002d_heading">
    <vt:lpwstr/>
  </property>
  <property fmtid="{D5CDD505-2E9C-101B-9397-08002B2CF9AE}" pid="5" name="Sub-heading">
    <vt:lpwstr/>
  </property>
  <property fmtid="{D5CDD505-2E9C-101B-9397-08002B2CF9AE}" pid="6" name="_dlc_DocIdItemGuid">
    <vt:lpwstr>511e9a07-fce0-4ad0-8e2d-eb119ed707a1</vt:lpwstr>
  </property>
</Properties>
</file>