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6F63" w14:textId="77777777" w:rsidR="00B0418B" w:rsidRPr="006277E8" w:rsidRDefault="00B0418B" w:rsidP="00B0418B"/>
    <w:p w14:paraId="6E5008CC" w14:textId="77777777" w:rsidR="00B0418B" w:rsidRPr="006277E8" w:rsidRDefault="00B0418B" w:rsidP="00B0418B">
      <w:r w:rsidRPr="006277E8">
        <w:t xml:space="preserve"> </w:t>
      </w:r>
      <w:r w:rsidRPr="006277E8">
        <w:rPr>
          <w:b/>
          <w:bCs/>
        </w:rPr>
        <w:t xml:space="preserve">Open Government Partnership: Developing New Zealand’s Fifth National Action Plan </w:t>
      </w:r>
    </w:p>
    <w:p w14:paraId="0F6E602A" w14:textId="77777777" w:rsidR="00B0418B" w:rsidRPr="006277E8" w:rsidRDefault="00B0418B" w:rsidP="00B0418B">
      <w:r w:rsidRPr="006277E8">
        <w:t xml:space="preserve">This table captures key discussion points from </w:t>
      </w:r>
      <w:r w:rsidRPr="006277E8">
        <w:rPr>
          <w:i/>
          <w:iCs/>
        </w:rPr>
        <w:t>Workshop 3</w:t>
      </w:r>
      <w:r w:rsidRPr="006277E8">
        <w:t>, held online on 26 November 2025.</w:t>
      </w:r>
    </w:p>
    <w:p w14:paraId="186BEE06" w14:textId="77777777" w:rsidR="002F21F5" w:rsidRPr="006277E8" w:rsidRDefault="00B0418B" w:rsidP="00B0418B">
      <w:r w:rsidRPr="006277E8">
        <w:t xml:space="preserve">If you have feedback on this record, including additions or corrections, please contact us at </w:t>
      </w:r>
      <w:hyperlink r:id="rId11" w:history="1">
        <w:r w:rsidRPr="006277E8">
          <w:rPr>
            <w:rStyle w:val="Hyperlink"/>
          </w:rPr>
          <w:t>ogpnz@publicservice.govt.nz</w:t>
        </w:r>
      </w:hyperlink>
    </w:p>
    <w:tbl>
      <w:tblPr>
        <w:tblStyle w:val="TableGrid"/>
        <w:tblW w:w="0" w:type="auto"/>
        <w:tblLook w:val="04A0" w:firstRow="1" w:lastRow="0" w:firstColumn="1" w:lastColumn="0" w:noHBand="0" w:noVBand="1"/>
      </w:tblPr>
      <w:tblGrid>
        <w:gridCol w:w="3964"/>
        <w:gridCol w:w="9984"/>
      </w:tblGrid>
      <w:tr w:rsidR="00B0418B" w:rsidRPr="006277E8" w14:paraId="1C0F5EB7" w14:textId="77777777" w:rsidTr="00F68F04">
        <w:tc>
          <w:tcPr>
            <w:tcW w:w="3964" w:type="dxa"/>
          </w:tcPr>
          <w:p w14:paraId="7F970995" w14:textId="77777777" w:rsidR="00B0418B" w:rsidRPr="006277E8" w:rsidRDefault="00B0418B" w:rsidP="00B0418B">
            <w:pPr>
              <w:rPr>
                <w:b/>
                <w:bCs/>
              </w:rPr>
            </w:pPr>
            <w:r w:rsidRPr="006277E8">
              <w:rPr>
                <w:b/>
                <w:bCs/>
              </w:rPr>
              <w:t xml:space="preserve">Commitment or topic </w:t>
            </w:r>
          </w:p>
        </w:tc>
        <w:tc>
          <w:tcPr>
            <w:tcW w:w="9984" w:type="dxa"/>
          </w:tcPr>
          <w:p w14:paraId="60579C2D" w14:textId="77777777" w:rsidR="00B0418B" w:rsidRPr="006277E8" w:rsidRDefault="00B0418B" w:rsidP="00B0418B">
            <w:pPr>
              <w:rPr>
                <w:b/>
                <w:bCs/>
              </w:rPr>
            </w:pPr>
            <w:r w:rsidRPr="006277E8">
              <w:rPr>
                <w:b/>
                <w:bCs/>
              </w:rPr>
              <w:t xml:space="preserve">Feedback </w:t>
            </w:r>
            <w:r w:rsidR="00DF36F7" w:rsidRPr="006277E8">
              <w:rPr>
                <w:b/>
                <w:bCs/>
              </w:rPr>
              <w:t xml:space="preserve">and </w:t>
            </w:r>
            <w:r w:rsidRPr="006277E8">
              <w:rPr>
                <w:b/>
                <w:bCs/>
              </w:rPr>
              <w:t>suggested change</w:t>
            </w:r>
            <w:r w:rsidR="00DF36F7" w:rsidRPr="006277E8">
              <w:rPr>
                <w:b/>
                <w:bCs/>
              </w:rPr>
              <w:t>s</w:t>
            </w:r>
          </w:p>
        </w:tc>
      </w:tr>
      <w:tr w:rsidR="00B0418B" w:rsidRPr="006277E8" w14:paraId="52D5F851" w14:textId="77777777" w:rsidTr="00F68F04">
        <w:tc>
          <w:tcPr>
            <w:tcW w:w="3964" w:type="dxa"/>
          </w:tcPr>
          <w:p w14:paraId="14B14955" w14:textId="77777777" w:rsidR="00B0418B" w:rsidRPr="006277E8" w:rsidRDefault="00B0418B" w:rsidP="00B0418B">
            <w:r w:rsidRPr="006277E8">
              <w:t>Review protected disclosure practice</w:t>
            </w:r>
          </w:p>
        </w:tc>
        <w:tc>
          <w:tcPr>
            <w:tcW w:w="9984" w:type="dxa"/>
          </w:tcPr>
          <w:p w14:paraId="4BEA4F97" w14:textId="4CDEBF9C" w:rsidR="006277E8" w:rsidRPr="006277E8" w:rsidRDefault="00543B1B" w:rsidP="006277E8">
            <w:pPr>
              <w:pStyle w:val="ListParagraph"/>
              <w:numPr>
                <w:ilvl w:val="0"/>
                <w:numId w:val="1"/>
              </w:numPr>
            </w:pPr>
            <w:r w:rsidRPr="006277E8">
              <w:t xml:space="preserve">Commitment supported but milestones </w:t>
            </w:r>
            <w:r w:rsidR="006277E8" w:rsidRPr="006277E8">
              <w:t xml:space="preserve">and activities </w:t>
            </w:r>
            <w:r w:rsidRPr="006277E8">
              <w:t>too short</w:t>
            </w:r>
            <w:r w:rsidR="006277E8" w:rsidRPr="006277E8">
              <w:t>.</w:t>
            </w:r>
          </w:p>
          <w:p w14:paraId="699D2D4A" w14:textId="77777777" w:rsidR="006277E8" w:rsidRPr="006277E8" w:rsidRDefault="006277E8" w:rsidP="006277E8">
            <w:pPr>
              <w:pStyle w:val="ListParagraph"/>
              <w:numPr>
                <w:ilvl w:val="0"/>
                <w:numId w:val="1"/>
              </w:numPr>
            </w:pPr>
            <w:r w:rsidRPr="006277E8">
              <w:t xml:space="preserve">Needs to add </w:t>
            </w:r>
            <w:r w:rsidR="00543B1B" w:rsidRPr="006277E8">
              <w:t xml:space="preserve">publishing of review/report </w:t>
            </w:r>
            <w:r w:rsidRPr="006277E8">
              <w:t xml:space="preserve">as part of commitment </w:t>
            </w:r>
          </w:p>
          <w:p w14:paraId="549C6BA8" w14:textId="2599540B" w:rsidR="006277E8" w:rsidRPr="006277E8" w:rsidRDefault="006277E8" w:rsidP="006277E8">
            <w:pPr>
              <w:pStyle w:val="ListParagraph"/>
              <w:numPr>
                <w:ilvl w:val="0"/>
                <w:numId w:val="1"/>
              </w:numPr>
            </w:pPr>
            <w:r w:rsidRPr="006277E8">
              <w:t>Commitment should include</w:t>
            </w:r>
            <w:r w:rsidR="00543B1B" w:rsidRPr="006277E8">
              <w:t xml:space="preserve"> reporting on </w:t>
            </w:r>
            <w:r w:rsidR="1CB41A1D">
              <w:t>protected</w:t>
            </w:r>
            <w:r w:rsidR="6DD6CB02">
              <w:t xml:space="preserve"> disclosure (</w:t>
            </w:r>
            <w:r w:rsidRPr="006277E8">
              <w:t>PD</w:t>
            </w:r>
            <w:r w:rsidR="72E4650C">
              <w:t>)</w:t>
            </w:r>
            <w:r w:rsidRPr="006277E8">
              <w:t xml:space="preserve"> </w:t>
            </w:r>
            <w:r w:rsidR="00543B1B" w:rsidRPr="006277E8">
              <w:t>data by theme</w:t>
            </w:r>
            <w:r w:rsidRPr="006277E8">
              <w:t>s, e.g. agencies reporting how many PDs they received and what they were about by theme.</w:t>
            </w:r>
          </w:p>
          <w:p w14:paraId="0D870D41" w14:textId="7BCD2ED2" w:rsidR="006277E8" w:rsidRPr="006277E8" w:rsidRDefault="006277E8" w:rsidP="006277E8">
            <w:pPr>
              <w:pStyle w:val="ListParagraph"/>
              <w:numPr>
                <w:ilvl w:val="0"/>
                <w:numId w:val="1"/>
              </w:numPr>
            </w:pPr>
            <w:r w:rsidRPr="006277E8">
              <w:t xml:space="preserve">Need to include “rejected” disclosures in reporting. </w:t>
            </w:r>
          </w:p>
          <w:p w14:paraId="2E05BCBB" w14:textId="77777777" w:rsidR="006277E8" w:rsidRPr="006277E8" w:rsidRDefault="00543B1B" w:rsidP="006277E8">
            <w:pPr>
              <w:pStyle w:val="ListParagraph"/>
              <w:numPr>
                <w:ilvl w:val="0"/>
                <w:numId w:val="1"/>
              </w:numPr>
            </w:pPr>
            <w:r w:rsidRPr="006277E8">
              <w:t>Ombudsman could co-lead with PSC</w:t>
            </w:r>
          </w:p>
          <w:p w14:paraId="77F862E8" w14:textId="77777777" w:rsidR="006277E8" w:rsidRPr="006277E8" w:rsidRDefault="006277E8" w:rsidP="006277E8">
            <w:pPr>
              <w:pStyle w:val="ListParagraph"/>
              <w:numPr>
                <w:ilvl w:val="0"/>
                <w:numId w:val="1"/>
              </w:numPr>
            </w:pPr>
            <w:r w:rsidRPr="006277E8">
              <w:t xml:space="preserve">Need to </w:t>
            </w:r>
            <w:r w:rsidR="00543B1B" w:rsidRPr="006277E8">
              <w:t>clarify scope</w:t>
            </w:r>
            <w:r w:rsidRPr="006277E8">
              <w:t>, is it</w:t>
            </w:r>
            <w:r w:rsidR="00543B1B" w:rsidRPr="006277E8">
              <w:t xml:space="preserve"> public </w:t>
            </w:r>
            <w:r w:rsidRPr="006277E8">
              <w:t>or</w:t>
            </w:r>
            <w:r w:rsidR="00543B1B" w:rsidRPr="006277E8">
              <w:t xml:space="preserve"> private sector</w:t>
            </w:r>
            <w:r w:rsidRPr="006277E8">
              <w:t xml:space="preserve"> or both? We should c</w:t>
            </w:r>
            <w:r w:rsidR="00543B1B" w:rsidRPr="006277E8">
              <w:t xml:space="preserve">onsider including non-government entities in a community of practice. </w:t>
            </w:r>
          </w:p>
          <w:p w14:paraId="00F8F2D8" w14:textId="3C1A0C0F" w:rsidR="006277E8" w:rsidRPr="006277E8" w:rsidRDefault="006277E8" w:rsidP="006277E8">
            <w:pPr>
              <w:pStyle w:val="ListParagraph"/>
              <w:numPr>
                <w:ilvl w:val="0"/>
                <w:numId w:val="1"/>
              </w:numPr>
            </w:pPr>
            <w:r w:rsidRPr="006277E8">
              <w:t>Need to a</w:t>
            </w:r>
            <w:r w:rsidR="00543B1B" w:rsidRPr="006277E8">
              <w:t>ddress root causes of why people don’t feel safe to disclose</w:t>
            </w:r>
            <w:r w:rsidRPr="006277E8">
              <w:t xml:space="preserve">. Current system doesn’t provide security and confidence. </w:t>
            </w:r>
          </w:p>
          <w:p w14:paraId="43BF59A6" w14:textId="4224CBEA" w:rsidR="006277E8" w:rsidRPr="006277E8" w:rsidRDefault="006277E8" w:rsidP="006277E8">
            <w:pPr>
              <w:pStyle w:val="ListParagraph"/>
              <w:numPr>
                <w:ilvl w:val="0"/>
                <w:numId w:val="1"/>
              </w:numPr>
            </w:pPr>
            <w:r>
              <w:t xml:space="preserve">The commitment needs to engage </w:t>
            </w:r>
            <w:r w:rsidR="36FE1C6A">
              <w:t>civil society organisations (</w:t>
            </w:r>
            <w:r>
              <w:t>CSOs</w:t>
            </w:r>
            <w:r w:rsidR="166771AA">
              <w:t>)</w:t>
            </w:r>
            <w:r>
              <w:t xml:space="preserve"> </w:t>
            </w:r>
            <w:r w:rsidR="00543B1B">
              <w:t xml:space="preserve">like Community Law Centres. </w:t>
            </w:r>
            <w:r>
              <w:t xml:space="preserve">NZCCL could be included as they are often </w:t>
            </w:r>
            <w:r w:rsidR="00743534">
              <w:t>approached</w:t>
            </w:r>
            <w:r>
              <w:t xml:space="preserve"> with concerns. </w:t>
            </w:r>
          </w:p>
          <w:p w14:paraId="478F8CE1" w14:textId="06A044B1" w:rsidR="006277E8" w:rsidRPr="006277E8" w:rsidRDefault="006277E8" w:rsidP="006277E8">
            <w:pPr>
              <w:pStyle w:val="ListParagraph"/>
              <w:numPr>
                <w:ilvl w:val="0"/>
                <w:numId w:val="1"/>
              </w:numPr>
            </w:pPr>
            <w:r w:rsidRPr="006277E8">
              <w:t xml:space="preserve">Research needs to consider how we create an environment where people feel safe to disclose. </w:t>
            </w:r>
          </w:p>
          <w:p w14:paraId="0BFB27B4" w14:textId="3281A9DF" w:rsidR="006277E8" w:rsidRDefault="006277E8" w:rsidP="006277E8">
            <w:pPr>
              <w:pStyle w:val="ListParagraph"/>
              <w:numPr>
                <w:ilvl w:val="0"/>
                <w:numId w:val="1"/>
              </w:numPr>
            </w:pPr>
            <w:r w:rsidRPr="006277E8">
              <w:t>Should consider RCOI on Abuse in Care and people who tried to raise issues. Elizab</w:t>
            </w:r>
            <w:r>
              <w:t>et</w:t>
            </w:r>
            <w:r w:rsidRPr="006277E8">
              <w:t xml:space="preserve">h Stanley </w:t>
            </w:r>
            <w:r>
              <w:t xml:space="preserve">has done research on this. </w:t>
            </w:r>
          </w:p>
          <w:p w14:paraId="7056F3DA" w14:textId="27EF994B" w:rsidR="00B710FD" w:rsidRPr="006277E8" w:rsidRDefault="006277E8" w:rsidP="00B710FD">
            <w:pPr>
              <w:pStyle w:val="ListParagraph"/>
              <w:numPr>
                <w:ilvl w:val="0"/>
                <w:numId w:val="1"/>
              </w:numPr>
            </w:pPr>
            <w:r>
              <w:t>Problem of “false signals”</w:t>
            </w:r>
            <w:r w:rsidR="00B710FD">
              <w:t xml:space="preserve">. Agencies will receive spurious claims and vexatious or repeated litigants, how do you filter these? Need to be careful with how complainants are presenting because this doesn’t mean there is no complaint to answer – consider recent IPCA report. </w:t>
            </w:r>
          </w:p>
        </w:tc>
      </w:tr>
      <w:tr w:rsidR="00B0418B" w:rsidRPr="006277E8" w14:paraId="0CE63B8C" w14:textId="77777777" w:rsidTr="00F68F04">
        <w:tc>
          <w:tcPr>
            <w:tcW w:w="3964" w:type="dxa"/>
          </w:tcPr>
          <w:p w14:paraId="75A41AA8" w14:textId="77777777" w:rsidR="00B0418B" w:rsidRPr="006277E8" w:rsidRDefault="00B0418B" w:rsidP="00B0418B">
            <w:r w:rsidRPr="006277E8">
              <w:lastRenderedPageBreak/>
              <w:t>Develop a Corruption Assessment Tool</w:t>
            </w:r>
          </w:p>
        </w:tc>
        <w:tc>
          <w:tcPr>
            <w:tcW w:w="9984" w:type="dxa"/>
          </w:tcPr>
          <w:p w14:paraId="0BE97DB7" w14:textId="77777777" w:rsidR="00B710FD" w:rsidRDefault="00543B1B" w:rsidP="00B710FD">
            <w:pPr>
              <w:pStyle w:val="ListParagraph"/>
              <w:numPr>
                <w:ilvl w:val="0"/>
                <w:numId w:val="2"/>
              </w:numPr>
            </w:pPr>
            <w:r w:rsidRPr="006277E8">
              <w:t xml:space="preserve">Rename to Corruption </w:t>
            </w:r>
            <w:r w:rsidRPr="00B710FD">
              <w:rPr>
                <w:i/>
                <w:iCs/>
              </w:rPr>
              <w:t>Risk</w:t>
            </w:r>
            <w:r w:rsidRPr="006277E8">
              <w:t xml:space="preserve"> Assessment Tool. </w:t>
            </w:r>
          </w:p>
          <w:p w14:paraId="086F4D93" w14:textId="77777777" w:rsidR="00B710FD" w:rsidRDefault="00B710FD" w:rsidP="00B710FD">
            <w:pPr>
              <w:pStyle w:val="ListParagraph"/>
              <w:numPr>
                <w:ilvl w:val="0"/>
                <w:numId w:val="2"/>
              </w:numPr>
            </w:pPr>
            <w:r>
              <w:t>Needs a broad scope and to include things like n</w:t>
            </w:r>
            <w:r w:rsidR="00543B1B" w:rsidRPr="006277E8">
              <w:t xml:space="preserve">epotism, undue influence, bribery. </w:t>
            </w:r>
          </w:p>
          <w:p w14:paraId="561B6A3E" w14:textId="77777777" w:rsidR="00B710FD" w:rsidRDefault="00543B1B" w:rsidP="00B710FD">
            <w:pPr>
              <w:pStyle w:val="ListParagraph"/>
              <w:numPr>
                <w:ilvl w:val="0"/>
                <w:numId w:val="2"/>
              </w:numPr>
            </w:pPr>
            <w:r w:rsidRPr="006277E8">
              <w:t>Consider use by local government</w:t>
            </w:r>
          </w:p>
          <w:p w14:paraId="6B5C1F21" w14:textId="2EA9C795" w:rsidR="00B710FD" w:rsidRDefault="00B710FD" w:rsidP="00B710FD">
            <w:pPr>
              <w:pStyle w:val="ListParagraph"/>
              <w:numPr>
                <w:ilvl w:val="0"/>
                <w:numId w:val="2"/>
              </w:numPr>
            </w:pPr>
            <w:r>
              <w:t>L</w:t>
            </w:r>
            <w:r w:rsidR="00543B1B" w:rsidRPr="006277E8">
              <w:t>everage existing tools (</w:t>
            </w:r>
            <w:r w:rsidR="00543B1B">
              <w:t>T</w:t>
            </w:r>
            <w:r w:rsidR="02E8BA4C">
              <w:t>ransparency International</w:t>
            </w:r>
            <w:r w:rsidR="00543B1B" w:rsidRPr="006277E8">
              <w:t xml:space="preserve"> Australia</w:t>
            </w:r>
            <w:r>
              <w:t xml:space="preserve"> has a corruption risk assessment tool for Infrastructure</w:t>
            </w:r>
            <w:r w:rsidR="00543B1B" w:rsidRPr="006277E8">
              <w:t>, Ombudsman</w:t>
            </w:r>
            <w:r>
              <w:t xml:space="preserve"> has created </w:t>
            </w:r>
            <w:r w:rsidR="00A41293">
              <w:t>self-assessment</w:t>
            </w:r>
            <w:r>
              <w:t xml:space="preserve"> tools that can be shared</w:t>
            </w:r>
            <w:r w:rsidR="00543B1B" w:rsidRPr="006277E8">
              <w:t>).</w:t>
            </w:r>
          </w:p>
          <w:p w14:paraId="4F4D3DF0" w14:textId="77777777" w:rsidR="00B710FD" w:rsidRDefault="00543B1B" w:rsidP="00B710FD">
            <w:pPr>
              <w:pStyle w:val="ListParagraph"/>
              <w:numPr>
                <w:ilvl w:val="0"/>
                <w:numId w:val="2"/>
              </w:numPr>
            </w:pPr>
            <w:r w:rsidRPr="006277E8">
              <w:t>Add milestones for implementation</w:t>
            </w:r>
          </w:p>
          <w:p w14:paraId="6B9C7891" w14:textId="725C0DE9" w:rsidR="00B97476" w:rsidRDefault="00B710FD" w:rsidP="00B97476">
            <w:pPr>
              <w:pStyle w:val="ListParagraph"/>
              <w:numPr>
                <w:ilvl w:val="0"/>
                <w:numId w:val="2"/>
              </w:numPr>
            </w:pPr>
            <w:r>
              <w:t>P</w:t>
            </w:r>
            <w:r w:rsidR="00543B1B" w:rsidRPr="006277E8">
              <w:t>ublishing</w:t>
            </w:r>
            <w:r>
              <w:t xml:space="preserve"> resulting</w:t>
            </w:r>
            <w:r w:rsidR="00543B1B" w:rsidRPr="006277E8">
              <w:t xml:space="preserve"> data.</w:t>
            </w:r>
            <w:r w:rsidR="00B97476">
              <w:t xml:space="preserve"> Question raised about publicising results of risk assessment – is this a road map to an organisation’s weaknesses or do criminals already know what these weaknesses are? </w:t>
            </w:r>
          </w:p>
          <w:p w14:paraId="339F9A11" w14:textId="7E8E0345" w:rsidR="00C375AA" w:rsidRPr="006277E8" w:rsidRDefault="004460E9" w:rsidP="00EB22F8">
            <w:pPr>
              <w:pStyle w:val="ListParagraph"/>
              <w:numPr>
                <w:ilvl w:val="0"/>
                <w:numId w:val="2"/>
              </w:numPr>
            </w:pPr>
            <w:r>
              <w:t>Need to</w:t>
            </w:r>
            <w:r w:rsidR="00A41293">
              <w:t xml:space="preserve"> </w:t>
            </w:r>
            <w:r w:rsidR="001B19E4">
              <w:t>consider what triggers are for ad hoc reviews,</w:t>
            </w:r>
          </w:p>
        </w:tc>
      </w:tr>
      <w:tr w:rsidR="00B0418B" w:rsidRPr="006277E8" w14:paraId="617506B3" w14:textId="77777777" w:rsidTr="00F68F04">
        <w:tc>
          <w:tcPr>
            <w:tcW w:w="3964" w:type="dxa"/>
          </w:tcPr>
          <w:p w14:paraId="77871444" w14:textId="77777777" w:rsidR="00B0418B" w:rsidRPr="006277E8" w:rsidRDefault="00B0418B" w:rsidP="00B0418B">
            <w:r w:rsidRPr="006277E8">
              <w:t xml:space="preserve">Support ethical government – private sector career transitions </w:t>
            </w:r>
          </w:p>
        </w:tc>
        <w:tc>
          <w:tcPr>
            <w:tcW w:w="9984" w:type="dxa"/>
          </w:tcPr>
          <w:p w14:paraId="3614931A" w14:textId="3FD794FE" w:rsidR="0084679F" w:rsidRDefault="00040672" w:rsidP="00176ABD">
            <w:pPr>
              <w:pStyle w:val="ListParagraph"/>
              <w:numPr>
                <w:ilvl w:val="0"/>
                <w:numId w:val="3"/>
              </w:numPr>
            </w:pPr>
            <w:r>
              <w:t xml:space="preserve">Support the commitment but title change makes it less clear what it is about. Suggest returning </w:t>
            </w:r>
            <w:r w:rsidR="004209CF">
              <w:t xml:space="preserve">to </w:t>
            </w:r>
            <w:r w:rsidR="004209CF" w:rsidRPr="00176ABD">
              <w:t>“</w:t>
            </w:r>
            <w:r w:rsidR="00176ABD" w:rsidRPr="00176ABD">
              <w:t>Revolving Door”</w:t>
            </w:r>
            <w:r>
              <w:t xml:space="preserve">. </w:t>
            </w:r>
          </w:p>
          <w:p w14:paraId="1AA7D272" w14:textId="77777777" w:rsidR="0084679F" w:rsidRDefault="0084679F" w:rsidP="00176ABD">
            <w:pPr>
              <w:pStyle w:val="ListParagraph"/>
              <w:numPr>
                <w:ilvl w:val="0"/>
                <w:numId w:val="3"/>
              </w:numPr>
            </w:pPr>
            <w:r>
              <w:t>Needs to co</w:t>
            </w:r>
            <w:r w:rsidR="00176ABD" w:rsidRPr="00176ABD">
              <w:t xml:space="preserve">ver </w:t>
            </w:r>
            <w:r>
              <w:t xml:space="preserve">movements in </w:t>
            </w:r>
            <w:r w:rsidR="00176ABD" w:rsidRPr="00176ABD">
              <w:t xml:space="preserve">both directions (public </w:t>
            </w:r>
            <w:r>
              <w:t xml:space="preserve">to </w:t>
            </w:r>
            <w:r w:rsidR="00176ABD" w:rsidRPr="00176ABD">
              <w:t xml:space="preserve">private and vice versa). </w:t>
            </w:r>
          </w:p>
          <w:p w14:paraId="6B60323D" w14:textId="42A49EDE" w:rsidR="004955BF" w:rsidRDefault="00A12577" w:rsidP="00176ABD">
            <w:pPr>
              <w:pStyle w:val="ListParagraph"/>
              <w:numPr>
                <w:ilvl w:val="0"/>
                <w:numId w:val="3"/>
              </w:numPr>
            </w:pPr>
            <w:r>
              <w:t>Lots of things already impact this commitment – Cab</w:t>
            </w:r>
            <w:r w:rsidR="76AD9175">
              <w:t>inet</w:t>
            </w:r>
            <w:r>
              <w:t xml:space="preserve"> Manual, employment </w:t>
            </w:r>
            <w:r w:rsidR="00416235">
              <w:t>obligations</w:t>
            </w:r>
            <w:r>
              <w:t xml:space="preserve"> etc. </w:t>
            </w:r>
            <w:r w:rsidR="00416235">
              <w:t>What are the gaps in existing mechanisms?</w:t>
            </w:r>
            <w:r w:rsidR="00FF3E8D">
              <w:t xml:space="preserve"> Gap may be biggest for MPs.</w:t>
            </w:r>
          </w:p>
          <w:p w14:paraId="4701EC31" w14:textId="145351A1" w:rsidR="00443F8D" w:rsidRDefault="004955BF" w:rsidP="00176ABD">
            <w:pPr>
              <w:pStyle w:val="ListParagraph"/>
              <w:numPr>
                <w:ilvl w:val="0"/>
                <w:numId w:val="3"/>
              </w:numPr>
            </w:pPr>
            <w:r>
              <w:t xml:space="preserve">Concerns raised </w:t>
            </w:r>
            <w:r w:rsidR="5C7C90A2">
              <w:t xml:space="preserve">that the </w:t>
            </w:r>
            <w:r>
              <w:t xml:space="preserve">focus is too much on public servants when </w:t>
            </w:r>
            <w:r w:rsidR="00443F8D">
              <w:t xml:space="preserve">issue is broader. </w:t>
            </w:r>
          </w:p>
          <w:p w14:paraId="0F39D631" w14:textId="77777777" w:rsidR="00443F8D" w:rsidRDefault="00443F8D" w:rsidP="00176ABD">
            <w:pPr>
              <w:pStyle w:val="ListParagraph"/>
              <w:numPr>
                <w:ilvl w:val="0"/>
                <w:numId w:val="3"/>
              </w:numPr>
            </w:pPr>
            <w:r>
              <w:t xml:space="preserve">Commitment shouldn’t take two years – need more milestones. </w:t>
            </w:r>
          </w:p>
          <w:p w14:paraId="723B6B6E" w14:textId="6C314561" w:rsidR="00401C5F" w:rsidRDefault="00A73EE1" w:rsidP="00401C5F">
            <w:pPr>
              <w:pStyle w:val="ListParagraph"/>
              <w:numPr>
                <w:ilvl w:val="0"/>
                <w:numId w:val="3"/>
              </w:numPr>
            </w:pPr>
            <w:r>
              <w:t xml:space="preserve">Proposed solution is framed as reassuring public, but focus should be on </w:t>
            </w:r>
            <w:r w:rsidR="000076FF">
              <w:t>actual risk mitigation.</w:t>
            </w:r>
          </w:p>
          <w:p w14:paraId="202A0FDE" w14:textId="7FD6695B" w:rsidR="004955BF" w:rsidRDefault="000E0B95" w:rsidP="004955BF">
            <w:pPr>
              <w:pStyle w:val="ListParagraph"/>
              <w:numPr>
                <w:ilvl w:val="0"/>
                <w:numId w:val="3"/>
              </w:numPr>
            </w:pPr>
            <w:r>
              <w:t xml:space="preserve">Commitment should </w:t>
            </w:r>
            <w:r w:rsidR="004209CF">
              <w:t>include</w:t>
            </w:r>
            <w:r>
              <w:t xml:space="preserve"> p</w:t>
            </w:r>
            <w:r w:rsidR="00176ABD" w:rsidRPr="00176ABD">
              <w:t>ublish</w:t>
            </w:r>
            <w:r>
              <w:t>ing</w:t>
            </w:r>
            <w:r w:rsidR="00176ABD" w:rsidRPr="00176ABD">
              <w:t xml:space="preserve"> discussion document and </w:t>
            </w:r>
            <w:r>
              <w:t>research.</w:t>
            </w:r>
          </w:p>
          <w:p w14:paraId="5C643E9E" w14:textId="106BDF15" w:rsidR="000E0B95" w:rsidRDefault="00610C43" w:rsidP="00176ABD">
            <w:pPr>
              <w:pStyle w:val="ListParagraph"/>
              <w:numPr>
                <w:ilvl w:val="0"/>
                <w:numId w:val="3"/>
              </w:numPr>
            </w:pPr>
            <w:r>
              <w:t xml:space="preserve">Need to think about what the problem is and what outcome we are wanting. </w:t>
            </w:r>
            <w:r w:rsidR="004A0BAC">
              <w:t xml:space="preserve">Need tools available and </w:t>
            </w:r>
            <w:r w:rsidR="004209CF">
              <w:t>ethical</w:t>
            </w:r>
            <w:r w:rsidR="004A0BAC">
              <w:t xml:space="preserve"> considerations </w:t>
            </w:r>
            <w:proofErr w:type="gramStart"/>
            <w:r w:rsidR="004A0BAC">
              <w:t>taken into account</w:t>
            </w:r>
            <w:proofErr w:type="gramEnd"/>
            <w:r w:rsidR="004A0BAC">
              <w:t xml:space="preserve"> when making hiring decisions. </w:t>
            </w:r>
          </w:p>
          <w:p w14:paraId="63DEA1AD" w14:textId="77777777" w:rsidR="00B75E33" w:rsidRDefault="00B75E33" w:rsidP="00176ABD">
            <w:pPr>
              <w:pStyle w:val="ListParagraph"/>
              <w:numPr>
                <w:ilvl w:val="0"/>
                <w:numId w:val="3"/>
              </w:numPr>
            </w:pPr>
            <w:r>
              <w:t>Discussion document could include ideas for tools or case studies.</w:t>
            </w:r>
          </w:p>
          <w:p w14:paraId="208667E5" w14:textId="59D95692" w:rsidR="0018144B" w:rsidRDefault="00176ABD" w:rsidP="00176ABD">
            <w:pPr>
              <w:pStyle w:val="ListParagraph"/>
              <w:numPr>
                <w:ilvl w:val="0"/>
                <w:numId w:val="3"/>
              </w:numPr>
            </w:pPr>
            <w:r w:rsidRPr="00176ABD">
              <w:t>Engage civil society (</w:t>
            </w:r>
            <w:r>
              <w:t>T</w:t>
            </w:r>
            <w:r w:rsidR="14863E4B">
              <w:t>ransparency International New Zealand</w:t>
            </w:r>
            <w:r w:rsidRPr="00176ABD">
              <w:t>, Trust Democracy NZ,</w:t>
            </w:r>
            <w:r w:rsidR="00320449">
              <w:t xml:space="preserve"> Helen Clark Foundation, Health Coalition</w:t>
            </w:r>
            <w:r w:rsidR="00AF3793">
              <w:t xml:space="preserve"> Aotearoa</w:t>
            </w:r>
            <w:r w:rsidR="00320449">
              <w:t>, PSA and</w:t>
            </w:r>
            <w:r w:rsidRPr="00176ABD">
              <w:t xml:space="preserve"> academics)</w:t>
            </w:r>
            <w:r w:rsidR="004209CF">
              <w:t xml:space="preserve">. </w:t>
            </w:r>
            <w:r w:rsidR="00320449">
              <w:t xml:space="preserve">Possibly parliamentary groups like </w:t>
            </w:r>
            <w:r w:rsidR="5C839BD8">
              <w:t>Global Organisation of Parliamentarians against Corruption (</w:t>
            </w:r>
            <w:r w:rsidR="00320449">
              <w:t>GOPAC</w:t>
            </w:r>
            <w:r w:rsidR="5C839BD8">
              <w:t>)</w:t>
            </w:r>
            <w:r w:rsidR="00320449">
              <w:t>?</w:t>
            </w:r>
          </w:p>
          <w:p w14:paraId="611955DA" w14:textId="2933C554" w:rsidR="00C40490" w:rsidRDefault="00C40490" w:rsidP="00176ABD">
            <w:pPr>
              <w:pStyle w:val="ListParagraph"/>
              <w:numPr>
                <w:ilvl w:val="0"/>
                <w:numId w:val="3"/>
              </w:numPr>
            </w:pPr>
            <w:r>
              <w:lastRenderedPageBreak/>
              <w:t xml:space="preserve">Political dimension of commitment may impact timing in an election year. </w:t>
            </w:r>
          </w:p>
          <w:p w14:paraId="43D2F6FA" w14:textId="67D09FF7" w:rsidR="00C40490" w:rsidRDefault="00C40490" w:rsidP="00176ABD">
            <w:pPr>
              <w:pStyle w:val="ListParagraph"/>
              <w:numPr>
                <w:ilvl w:val="0"/>
                <w:numId w:val="3"/>
              </w:numPr>
            </w:pPr>
            <w:r>
              <w:t>Look at models already out there – overseas</w:t>
            </w:r>
            <w:r w:rsidR="00DB3F9E">
              <w:t xml:space="preserve"> examples, code of ethical advocacy for NGOs, procurement rules may require things from suppliers. </w:t>
            </w:r>
          </w:p>
          <w:p w14:paraId="14216D91" w14:textId="4D9BE29C" w:rsidR="00B0418B" w:rsidRPr="006277E8" w:rsidRDefault="00574238" w:rsidP="00366D54">
            <w:pPr>
              <w:pStyle w:val="ListParagraph"/>
              <w:numPr>
                <w:ilvl w:val="0"/>
                <w:numId w:val="3"/>
              </w:numPr>
            </w:pPr>
            <w:r>
              <w:t xml:space="preserve">Should follow staged approach </w:t>
            </w:r>
            <w:r w:rsidR="00801BCC">
              <w:t>–</w:t>
            </w:r>
            <w:r>
              <w:t xml:space="preserve"> </w:t>
            </w:r>
            <w:r w:rsidR="00801BCC">
              <w:t xml:space="preserve">publish research first then discussion document. </w:t>
            </w:r>
          </w:p>
        </w:tc>
      </w:tr>
      <w:tr w:rsidR="00B0418B" w:rsidRPr="006277E8" w14:paraId="5067F625" w14:textId="77777777" w:rsidTr="00F68F04">
        <w:tc>
          <w:tcPr>
            <w:tcW w:w="3964" w:type="dxa"/>
          </w:tcPr>
          <w:p w14:paraId="618EF59D" w14:textId="77777777" w:rsidR="00B0418B" w:rsidRPr="006277E8" w:rsidRDefault="00266918" w:rsidP="00266918">
            <w:r w:rsidRPr="006277E8">
              <w:lastRenderedPageBreak/>
              <w:t>Explore options to improve transparency of senior leaders’ conflicts of interest</w:t>
            </w:r>
          </w:p>
        </w:tc>
        <w:tc>
          <w:tcPr>
            <w:tcW w:w="9984" w:type="dxa"/>
          </w:tcPr>
          <w:p w14:paraId="4EC37524" w14:textId="77777777" w:rsidR="0025223F" w:rsidRDefault="00543B1B" w:rsidP="0025223F">
            <w:pPr>
              <w:pStyle w:val="ListParagraph"/>
              <w:numPr>
                <w:ilvl w:val="0"/>
                <w:numId w:val="5"/>
              </w:numPr>
            </w:pPr>
            <w:r w:rsidRPr="006277E8">
              <w:t>Clarify who is covered (senior leaders, Crown entity CEs, short-term contractors).</w:t>
            </w:r>
          </w:p>
          <w:p w14:paraId="6999B330" w14:textId="77777777" w:rsidR="00D85949" w:rsidRDefault="00543B1B" w:rsidP="0025223F">
            <w:pPr>
              <w:pStyle w:val="ListParagraph"/>
              <w:numPr>
                <w:ilvl w:val="0"/>
                <w:numId w:val="5"/>
              </w:numPr>
            </w:pPr>
            <w:r w:rsidRPr="006277E8">
              <w:t>Improve usability and findability of registers</w:t>
            </w:r>
            <w:r w:rsidR="00697072">
              <w:t xml:space="preserve">. Minister’s register seen as useful but hard to find. </w:t>
            </w:r>
            <w:r w:rsidR="00D85949">
              <w:t xml:space="preserve">Can we have one page for all registers of interest? </w:t>
            </w:r>
          </w:p>
          <w:p w14:paraId="66CDD18A" w14:textId="742FF073" w:rsidR="00383B8B" w:rsidRDefault="00D85949" w:rsidP="0025223F">
            <w:pPr>
              <w:pStyle w:val="ListParagraph"/>
              <w:numPr>
                <w:ilvl w:val="0"/>
                <w:numId w:val="5"/>
              </w:numPr>
            </w:pPr>
            <w:r>
              <w:t>Need to regularly release data on themes of C</w:t>
            </w:r>
            <w:r w:rsidR="258716A3">
              <w:t>onflicts of Interest (</w:t>
            </w:r>
            <w:r>
              <w:t>COIs</w:t>
            </w:r>
            <w:r w:rsidR="0BC7E3AA">
              <w:t>)</w:t>
            </w:r>
            <w:r>
              <w:t xml:space="preserve">. </w:t>
            </w:r>
          </w:p>
          <w:p w14:paraId="17341ADA" w14:textId="37EED50A" w:rsidR="0025223F" w:rsidRDefault="00383B8B" w:rsidP="0025223F">
            <w:pPr>
              <w:pStyle w:val="ListParagraph"/>
              <w:numPr>
                <w:ilvl w:val="0"/>
                <w:numId w:val="5"/>
              </w:numPr>
            </w:pPr>
            <w:r>
              <w:t xml:space="preserve">COI discussions should be expected and normal for Boards e.g. ACC Board. </w:t>
            </w:r>
            <w:r w:rsidR="0025223F">
              <w:t xml:space="preserve"> </w:t>
            </w:r>
          </w:p>
          <w:p w14:paraId="3AC734D1" w14:textId="0CD3351F" w:rsidR="00383B8B" w:rsidRDefault="00383B8B" w:rsidP="0025223F">
            <w:pPr>
              <w:pStyle w:val="ListParagraph"/>
              <w:numPr>
                <w:ilvl w:val="0"/>
                <w:numId w:val="5"/>
              </w:numPr>
            </w:pPr>
            <w:r>
              <w:t xml:space="preserve">Link to private sector – institute of directors. </w:t>
            </w:r>
          </w:p>
          <w:p w14:paraId="4B73CADF" w14:textId="21F6B196" w:rsidR="0025223F" w:rsidRDefault="002017C0" w:rsidP="0025223F">
            <w:pPr>
              <w:pStyle w:val="ListParagraph"/>
              <w:numPr>
                <w:ilvl w:val="0"/>
                <w:numId w:val="5"/>
              </w:numPr>
            </w:pPr>
            <w:r>
              <w:t xml:space="preserve">There are privacy </w:t>
            </w:r>
            <w:r w:rsidR="00940786">
              <w:t xml:space="preserve">concerns that must be balanced against public interest. Need a policy around access to information. </w:t>
            </w:r>
          </w:p>
          <w:p w14:paraId="23C76CF1" w14:textId="01BD6C5A" w:rsidR="00A75915" w:rsidRDefault="00A75915" w:rsidP="0025223F">
            <w:pPr>
              <w:pStyle w:val="ListParagraph"/>
              <w:numPr>
                <w:ilvl w:val="0"/>
                <w:numId w:val="5"/>
              </w:numPr>
            </w:pPr>
            <w:r>
              <w:t xml:space="preserve">What is the role of Integrity Champions? Could a junior staff member contact an IC with an integrity concern? </w:t>
            </w:r>
          </w:p>
          <w:p w14:paraId="746E6FB5" w14:textId="4E6BAA8B" w:rsidR="00F75184" w:rsidRDefault="00F75184" w:rsidP="0025223F">
            <w:pPr>
              <w:pStyle w:val="ListParagraph"/>
              <w:numPr>
                <w:ilvl w:val="0"/>
                <w:numId w:val="5"/>
              </w:numPr>
            </w:pPr>
            <w:r>
              <w:t>Boards are different to employees and Board members will</w:t>
            </w:r>
            <w:r w:rsidR="009F0664">
              <w:t xml:space="preserve"> also</w:t>
            </w:r>
            <w:r>
              <w:t xml:space="preserve"> have conflicts. </w:t>
            </w:r>
            <w:r w:rsidR="008352F4">
              <w:t xml:space="preserve">May end up with a different register </w:t>
            </w:r>
            <w:r w:rsidR="02A01A8C">
              <w:t xml:space="preserve">or requirements </w:t>
            </w:r>
            <w:r w:rsidR="008352F4">
              <w:t xml:space="preserve">for directors. </w:t>
            </w:r>
          </w:p>
          <w:p w14:paraId="1F411BC7" w14:textId="1BB523FF" w:rsidR="00A75915" w:rsidRDefault="00F75184" w:rsidP="0025223F">
            <w:pPr>
              <w:pStyle w:val="ListParagraph"/>
              <w:numPr>
                <w:ilvl w:val="0"/>
                <w:numId w:val="5"/>
              </w:numPr>
            </w:pPr>
            <w:r>
              <w:t>Disclosing</w:t>
            </w:r>
            <w:r w:rsidR="009F0664">
              <w:t xml:space="preserve"> interests</w:t>
            </w:r>
            <w:r>
              <w:t xml:space="preserve"> </w:t>
            </w:r>
            <w:r w:rsidR="009F0664">
              <w:t>is widespread and is not the issue. Management is the important thing</w:t>
            </w:r>
            <w:r w:rsidR="0047354A">
              <w:t xml:space="preserve">. A public register itself may be misleading. </w:t>
            </w:r>
          </w:p>
          <w:p w14:paraId="44717A27" w14:textId="5E18536D" w:rsidR="00C375AA" w:rsidRPr="006277E8" w:rsidRDefault="00D55FA2" w:rsidP="00C6549C">
            <w:pPr>
              <w:pStyle w:val="ListParagraph"/>
              <w:numPr>
                <w:ilvl w:val="0"/>
                <w:numId w:val="5"/>
              </w:numPr>
            </w:pPr>
            <w:r>
              <w:t xml:space="preserve">When scoping a tool consider include a field that explains how the conflict is being managed – e.g. action taken to mitigate </w:t>
            </w:r>
            <w:r w:rsidR="00C6549C">
              <w:t>conflict</w:t>
            </w:r>
            <w:r>
              <w:t xml:space="preserve">. </w:t>
            </w:r>
          </w:p>
        </w:tc>
      </w:tr>
      <w:tr w:rsidR="00B0418B" w:rsidRPr="006277E8" w14:paraId="2ED6EA21" w14:textId="77777777" w:rsidTr="00F68F04">
        <w:tc>
          <w:tcPr>
            <w:tcW w:w="3964" w:type="dxa"/>
          </w:tcPr>
          <w:p w14:paraId="3F5ACA53" w14:textId="37269BB3" w:rsidR="00B0418B" w:rsidRPr="006277E8" w:rsidRDefault="00D1755F" w:rsidP="00B0418B">
            <w:r>
              <w:t>Overall</w:t>
            </w:r>
            <w:r w:rsidR="00EA414E">
              <w:t xml:space="preserve"> comments</w:t>
            </w:r>
            <w:r>
              <w:t xml:space="preserve"> including the</w:t>
            </w:r>
            <w:r w:rsidR="00EA414E">
              <w:t xml:space="preserve"> p</w:t>
            </w:r>
            <w:r w:rsidR="00B0418B" w:rsidRPr="006277E8">
              <w:t>rocess</w:t>
            </w:r>
            <w:r>
              <w:t xml:space="preserve"> f</w:t>
            </w:r>
            <w:r w:rsidR="00B0418B" w:rsidRPr="006277E8">
              <w:t>ollow</w:t>
            </w:r>
            <w:r>
              <w:t>ed</w:t>
            </w:r>
            <w:r w:rsidR="00B0418B" w:rsidRPr="006277E8">
              <w:t xml:space="preserve"> to develop NAP5</w:t>
            </w:r>
            <w:r w:rsidR="00426996">
              <w:t xml:space="preserve"> and co-creation. </w:t>
            </w:r>
          </w:p>
        </w:tc>
        <w:tc>
          <w:tcPr>
            <w:tcW w:w="9984" w:type="dxa"/>
          </w:tcPr>
          <w:p w14:paraId="7C6EC121" w14:textId="77777777" w:rsidR="00EA414E" w:rsidRDefault="00543B1B" w:rsidP="00EA414E">
            <w:pPr>
              <w:pStyle w:val="ListParagraph"/>
              <w:numPr>
                <w:ilvl w:val="0"/>
                <w:numId w:val="6"/>
              </w:numPr>
            </w:pPr>
            <w:r w:rsidRPr="006277E8">
              <w:t xml:space="preserve">Commitments should be SMART (Specific, Measurable, Achievable, Relevant, Time-bound). </w:t>
            </w:r>
          </w:p>
          <w:p w14:paraId="36FF0D00" w14:textId="18C8C6D1" w:rsidR="00A60E8A" w:rsidRDefault="00543B1B" w:rsidP="00EA414E">
            <w:pPr>
              <w:pStyle w:val="ListParagraph"/>
              <w:numPr>
                <w:ilvl w:val="0"/>
                <w:numId w:val="6"/>
              </w:numPr>
            </w:pPr>
            <w:r w:rsidRPr="006277E8">
              <w:t xml:space="preserve">Current plan </w:t>
            </w:r>
            <w:r w:rsidR="00FA4999">
              <w:t>is</w:t>
            </w:r>
            <w:r w:rsidRPr="006277E8">
              <w:t xml:space="preserve"> low ambition</w:t>
            </w:r>
            <w:r w:rsidR="0007178D">
              <w:t xml:space="preserve">. Only </w:t>
            </w:r>
            <w:r w:rsidR="00D223F1">
              <w:t>four</w:t>
            </w:r>
            <w:r w:rsidR="0007178D">
              <w:t xml:space="preserve"> commitments</w:t>
            </w:r>
            <w:r w:rsidR="00A60E8A">
              <w:t xml:space="preserve"> included</w:t>
            </w:r>
            <w:r w:rsidR="0007178D">
              <w:t xml:space="preserve"> and in other plans there have bee</w:t>
            </w:r>
            <w:r w:rsidR="00A60E8A">
              <w:t>n</w:t>
            </w:r>
            <w:r w:rsidR="0007178D">
              <w:t xml:space="preserve"> more. </w:t>
            </w:r>
          </w:p>
          <w:p w14:paraId="05C849B2" w14:textId="5DBFC5D8" w:rsidR="00A60E8A" w:rsidRDefault="00A60E8A" w:rsidP="00EA414E">
            <w:pPr>
              <w:pStyle w:val="ListParagraph"/>
              <w:numPr>
                <w:ilvl w:val="0"/>
                <w:numId w:val="6"/>
              </w:numPr>
            </w:pPr>
            <w:r>
              <w:t>M</w:t>
            </w:r>
            <w:r w:rsidR="00543B1B" w:rsidRPr="006277E8">
              <w:t>ost commitments could be delivered in one yea</w:t>
            </w:r>
            <w:r w:rsidR="00D223F1">
              <w:t xml:space="preserve">r but it’s a </w:t>
            </w:r>
            <w:proofErr w:type="gramStart"/>
            <w:r w:rsidR="00D223F1">
              <w:t>two</w:t>
            </w:r>
            <w:r w:rsidR="006C24FD">
              <w:t xml:space="preserve"> </w:t>
            </w:r>
            <w:r w:rsidR="00D223F1">
              <w:t>year</w:t>
            </w:r>
            <w:proofErr w:type="gramEnd"/>
            <w:r w:rsidR="00D223F1">
              <w:t xml:space="preserve"> plan. </w:t>
            </w:r>
          </w:p>
          <w:p w14:paraId="7846E8BC" w14:textId="535B5C5F" w:rsidR="00D1755F" w:rsidRDefault="00D1755F" w:rsidP="00EA414E">
            <w:pPr>
              <w:pStyle w:val="ListParagraph"/>
              <w:numPr>
                <w:ilvl w:val="0"/>
                <w:numId w:val="6"/>
              </w:numPr>
            </w:pPr>
            <w:r>
              <w:t>NAP5 should state that commitments can be added or extended. Will span election cycles and new Ministers may want to add commitments.</w:t>
            </w:r>
          </w:p>
          <w:p w14:paraId="04973474" w14:textId="4B52D8D0" w:rsidR="00D1755F" w:rsidRDefault="00B674CD" w:rsidP="00EA414E">
            <w:pPr>
              <w:pStyle w:val="ListParagraph"/>
              <w:numPr>
                <w:ilvl w:val="0"/>
                <w:numId w:val="6"/>
              </w:numPr>
            </w:pPr>
            <w:r w:rsidRPr="00B674CD">
              <w:t>All commitments will have a reasonable, low-level impact. No one stands out</w:t>
            </w:r>
            <w:r>
              <w:t>.</w:t>
            </w:r>
          </w:p>
          <w:p w14:paraId="64047E89" w14:textId="4167DB27" w:rsidR="00F3586B" w:rsidRDefault="00F3586B" w:rsidP="00EA414E">
            <w:pPr>
              <w:pStyle w:val="ListParagraph"/>
              <w:numPr>
                <w:ilvl w:val="0"/>
                <w:numId w:val="6"/>
              </w:numPr>
            </w:pPr>
            <w:r>
              <w:lastRenderedPageBreak/>
              <w:t>Need to i</w:t>
            </w:r>
            <w:r w:rsidR="00543B1B" w:rsidRPr="006277E8">
              <w:t>mprove accessibility (avoid PDFs; use Word/HTML).</w:t>
            </w:r>
            <w:r>
              <w:t xml:space="preserve"> Ombudsman has all documents up in Word and PDF, </w:t>
            </w:r>
            <w:r w:rsidR="1012013A">
              <w:t>NAP5 documents</w:t>
            </w:r>
            <w:r>
              <w:t xml:space="preserve"> should </w:t>
            </w:r>
            <w:r w:rsidR="1012013A">
              <w:t>follow this approach</w:t>
            </w:r>
            <w:r>
              <w:t xml:space="preserve">. </w:t>
            </w:r>
          </w:p>
          <w:p w14:paraId="138F358F" w14:textId="69413269" w:rsidR="00F3586B" w:rsidRDefault="00543B1B" w:rsidP="00EA414E">
            <w:pPr>
              <w:pStyle w:val="ListParagraph"/>
              <w:numPr>
                <w:ilvl w:val="0"/>
                <w:numId w:val="6"/>
              </w:numPr>
            </w:pPr>
            <w:r w:rsidRPr="006277E8">
              <w:t>Strengthen co-creation</w:t>
            </w:r>
            <w:r w:rsidR="00050343">
              <w:t>. Need to</w:t>
            </w:r>
            <w:r w:rsidRPr="006277E8">
              <w:t xml:space="preserve"> share full draft</w:t>
            </w:r>
            <w:r w:rsidR="00050343">
              <w:t xml:space="preserve"> of NAP</w:t>
            </w:r>
            <w:r w:rsidR="3EB3453C">
              <w:t>5</w:t>
            </w:r>
            <w:r w:rsidRPr="006277E8">
              <w:t xml:space="preserve"> including </w:t>
            </w:r>
            <w:r w:rsidR="00050343">
              <w:t xml:space="preserve">milestones, implementation and </w:t>
            </w:r>
            <w:r w:rsidRPr="006277E8">
              <w:t xml:space="preserve">Minister’s foreword before submission. </w:t>
            </w:r>
            <w:proofErr w:type="gramStart"/>
            <w:r w:rsidR="00050343">
              <w:t>Otherwise</w:t>
            </w:r>
            <w:proofErr w:type="gramEnd"/>
            <w:r w:rsidR="00050343">
              <w:t xml:space="preserve"> New Zealand cannot say plan was “co-created”. </w:t>
            </w:r>
          </w:p>
          <w:p w14:paraId="648FD8BF" w14:textId="0830E0DB" w:rsidR="00050343" w:rsidRDefault="00050343" w:rsidP="00EA414E">
            <w:pPr>
              <w:pStyle w:val="ListParagraph"/>
              <w:numPr>
                <w:ilvl w:val="0"/>
                <w:numId w:val="6"/>
              </w:numPr>
            </w:pPr>
            <w:r>
              <w:t>It would be better to submit late (i.e. in January 2026) than submit a plan that was no</w:t>
            </w:r>
            <w:r w:rsidR="4750C462">
              <w:t>t</w:t>
            </w:r>
            <w:r>
              <w:t xml:space="preserve"> co created.</w:t>
            </w:r>
          </w:p>
          <w:p w14:paraId="1CD95E83" w14:textId="59313EFF" w:rsidR="00F3586B" w:rsidRDefault="00F3586B" w:rsidP="00EA414E">
            <w:pPr>
              <w:pStyle w:val="ListParagraph"/>
              <w:numPr>
                <w:ilvl w:val="0"/>
                <w:numId w:val="6"/>
              </w:numPr>
            </w:pPr>
            <w:proofErr w:type="spellStart"/>
            <w:r>
              <w:t>StatsNZ</w:t>
            </w:r>
            <w:proofErr w:type="spellEnd"/>
            <w:r>
              <w:t xml:space="preserve"> hold </w:t>
            </w:r>
            <w:r w:rsidR="00827F99" w:rsidRPr="00827F99">
              <w:t>quarterly hui on their work programme</w:t>
            </w:r>
            <w:r w:rsidR="00050343">
              <w:t xml:space="preserve"> – a good example to follow. </w:t>
            </w:r>
          </w:p>
          <w:p w14:paraId="48DC39F9" w14:textId="0DD13B51" w:rsidR="008F2684" w:rsidRDefault="008F2684" w:rsidP="00EA414E">
            <w:pPr>
              <w:pStyle w:val="ListParagraph"/>
              <w:numPr>
                <w:ilvl w:val="0"/>
                <w:numId w:val="6"/>
              </w:numPr>
            </w:pPr>
            <w:r>
              <w:t xml:space="preserve">Canada and Finland </w:t>
            </w:r>
            <w:r w:rsidR="606E8613">
              <w:t>are</w:t>
            </w:r>
            <w:r>
              <w:t xml:space="preserve"> developing open government strategies – good example for NZ to follow. </w:t>
            </w:r>
          </w:p>
          <w:p w14:paraId="27F3B152" w14:textId="0C16625D" w:rsidR="008F2684" w:rsidRDefault="001E201C" w:rsidP="00EA414E">
            <w:pPr>
              <w:pStyle w:val="ListParagraph"/>
              <w:numPr>
                <w:ilvl w:val="0"/>
                <w:numId w:val="6"/>
              </w:numPr>
            </w:pPr>
            <w:r>
              <w:t xml:space="preserve">Good practice would be to establish a committee or group for each commitment with civil society involved. </w:t>
            </w:r>
          </w:p>
          <w:p w14:paraId="0B027815" w14:textId="3B4C9474" w:rsidR="001E201C" w:rsidRDefault="001E201C" w:rsidP="00EA414E">
            <w:pPr>
              <w:pStyle w:val="ListParagraph"/>
              <w:numPr>
                <w:ilvl w:val="0"/>
                <w:numId w:val="6"/>
              </w:numPr>
            </w:pPr>
            <w:r>
              <w:t>Consultation has a legal meaning, is this consultation meeting that?</w:t>
            </w:r>
          </w:p>
          <w:p w14:paraId="2EA8C902" w14:textId="33B675E2" w:rsidR="00426996" w:rsidRDefault="00426996" w:rsidP="00EA414E">
            <w:pPr>
              <w:pStyle w:val="ListParagraph"/>
              <w:numPr>
                <w:ilvl w:val="0"/>
                <w:numId w:val="6"/>
              </w:numPr>
            </w:pPr>
            <w:r>
              <w:t>At the lower end of the IAP2 spectrum on consultatio</w:t>
            </w:r>
            <w:r w:rsidR="00E40548">
              <w:t xml:space="preserve">n. If asked publicly was this co-design the answer is no. </w:t>
            </w:r>
          </w:p>
          <w:p w14:paraId="410B3A33" w14:textId="571ECA03" w:rsidR="00E40548" w:rsidRDefault="00E40548" w:rsidP="00EA414E">
            <w:pPr>
              <w:pStyle w:val="ListParagraph"/>
              <w:numPr>
                <w:ilvl w:val="0"/>
                <w:numId w:val="6"/>
              </w:numPr>
            </w:pPr>
            <w:r>
              <w:t xml:space="preserve">Need to see </w:t>
            </w:r>
            <w:r w:rsidR="00543B1B">
              <w:t xml:space="preserve">commitment milestones. </w:t>
            </w:r>
          </w:p>
          <w:p w14:paraId="1910A6AD" w14:textId="3C0E7BB8" w:rsidR="00401C5F" w:rsidRPr="006277E8" w:rsidRDefault="00543B1B" w:rsidP="00543B1B">
            <w:pPr>
              <w:pStyle w:val="ListParagraph"/>
              <w:numPr>
                <w:ilvl w:val="0"/>
                <w:numId w:val="6"/>
              </w:numPr>
            </w:pPr>
            <w:r>
              <w:t xml:space="preserve">With decisions delegated from Cabinet to the Minister for the Public Service civil society should be able to have more involvement. </w:t>
            </w:r>
          </w:p>
        </w:tc>
      </w:tr>
    </w:tbl>
    <w:p w14:paraId="05E0BF12" w14:textId="77777777" w:rsidR="00B0418B" w:rsidRPr="006277E8" w:rsidRDefault="00B0418B" w:rsidP="00B0418B"/>
    <w:sectPr w:rsidR="00B0418B" w:rsidRPr="006277E8" w:rsidSect="00B0418B">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4EA9" w14:textId="77777777" w:rsidR="00EF7FF0" w:rsidRDefault="00EF7FF0" w:rsidP="00B0418B">
      <w:pPr>
        <w:spacing w:after="0" w:line="240" w:lineRule="auto"/>
      </w:pPr>
      <w:r>
        <w:separator/>
      </w:r>
    </w:p>
  </w:endnote>
  <w:endnote w:type="continuationSeparator" w:id="0">
    <w:p w14:paraId="73E6F875" w14:textId="77777777" w:rsidR="00EF7FF0" w:rsidRDefault="00EF7FF0" w:rsidP="00B0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F8CA" w14:textId="77777777" w:rsidR="00EF7FF0" w:rsidRDefault="00EF7FF0" w:rsidP="00B0418B">
      <w:pPr>
        <w:spacing w:after="0" w:line="240" w:lineRule="auto"/>
      </w:pPr>
      <w:r>
        <w:separator/>
      </w:r>
    </w:p>
  </w:footnote>
  <w:footnote w:type="continuationSeparator" w:id="0">
    <w:p w14:paraId="4FA4A64F" w14:textId="77777777" w:rsidR="00EF7FF0" w:rsidRDefault="00EF7FF0" w:rsidP="00B04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7494" w14:textId="77777777" w:rsidR="00B0418B" w:rsidRPr="00B0418B" w:rsidRDefault="00B0418B" w:rsidP="00B0418B">
    <w:pPr>
      <w:pStyle w:val="Header"/>
      <w:jc w:val="center"/>
      <w:rPr>
        <w:lang w:val="mi-NZ"/>
      </w:rPr>
    </w:pPr>
    <w:r>
      <w:rPr>
        <w:lang w:val="mi-NZ"/>
      </w:rPr>
      <w:t>FOR DISCUSSION –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B4"/>
    <w:multiLevelType w:val="hybridMultilevel"/>
    <w:tmpl w:val="0908CFA4"/>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1" w15:restartNumberingAfterBreak="0">
    <w:nsid w:val="14BB7DD1"/>
    <w:multiLevelType w:val="hybridMultilevel"/>
    <w:tmpl w:val="359E4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E0309E3"/>
    <w:multiLevelType w:val="hybridMultilevel"/>
    <w:tmpl w:val="110EC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041636F"/>
    <w:multiLevelType w:val="hybridMultilevel"/>
    <w:tmpl w:val="AE92A3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99250C3"/>
    <w:multiLevelType w:val="hybridMultilevel"/>
    <w:tmpl w:val="3B5CC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7DC05B8"/>
    <w:multiLevelType w:val="hybridMultilevel"/>
    <w:tmpl w:val="058E92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96178542">
    <w:abstractNumId w:val="4"/>
  </w:num>
  <w:num w:numId="2" w16cid:durableId="312679096">
    <w:abstractNumId w:val="2"/>
  </w:num>
  <w:num w:numId="3" w16cid:durableId="1334408396">
    <w:abstractNumId w:val="0"/>
  </w:num>
  <w:num w:numId="4" w16cid:durableId="1645233767">
    <w:abstractNumId w:val="1"/>
  </w:num>
  <w:num w:numId="5" w16cid:durableId="2138451213">
    <w:abstractNumId w:val="5"/>
  </w:num>
  <w:num w:numId="6" w16cid:durableId="131757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8B"/>
    <w:rsid w:val="000076FF"/>
    <w:rsid w:val="00040672"/>
    <w:rsid w:val="00050343"/>
    <w:rsid w:val="0007178D"/>
    <w:rsid w:val="000A00AA"/>
    <w:rsid w:val="000E0B95"/>
    <w:rsid w:val="00176ABD"/>
    <w:rsid w:val="0018144B"/>
    <w:rsid w:val="001B19E4"/>
    <w:rsid w:val="001C1941"/>
    <w:rsid w:val="001C503E"/>
    <w:rsid w:val="001E201C"/>
    <w:rsid w:val="002017C0"/>
    <w:rsid w:val="00240A8B"/>
    <w:rsid w:val="0025223F"/>
    <w:rsid w:val="00266918"/>
    <w:rsid w:val="002F21F5"/>
    <w:rsid w:val="00320449"/>
    <w:rsid w:val="00324F56"/>
    <w:rsid w:val="00366D54"/>
    <w:rsid w:val="00383B8B"/>
    <w:rsid w:val="00401C5F"/>
    <w:rsid w:val="00416235"/>
    <w:rsid w:val="004209CF"/>
    <w:rsid w:val="00426996"/>
    <w:rsid w:val="00443F8D"/>
    <w:rsid w:val="004460E9"/>
    <w:rsid w:val="0047354A"/>
    <w:rsid w:val="004955BF"/>
    <w:rsid w:val="004A0BAC"/>
    <w:rsid w:val="00543B1B"/>
    <w:rsid w:val="00574238"/>
    <w:rsid w:val="00576D8E"/>
    <w:rsid w:val="00610C43"/>
    <w:rsid w:val="006277E8"/>
    <w:rsid w:val="006403E0"/>
    <w:rsid w:val="00697072"/>
    <w:rsid w:val="006C24FD"/>
    <w:rsid w:val="006E4970"/>
    <w:rsid w:val="00743534"/>
    <w:rsid w:val="007543B0"/>
    <w:rsid w:val="00773E22"/>
    <w:rsid w:val="007C702B"/>
    <w:rsid w:val="00801BCC"/>
    <w:rsid w:val="00827F99"/>
    <w:rsid w:val="008352F4"/>
    <w:rsid w:val="0084679F"/>
    <w:rsid w:val="008F2684"/>
    <w:rsid w:val="00921CDC"/>
    <w:rsid w:val="00940786"/>
    <w:rsid w:val="00997A32"/>
    <w:rsid w:val="009A3532"/>
    <w:rsid w:val="009F0664"/>
    <w:rsid w:val="00A12577"/>
    <w:rsid w:val="00A41293"/>
    <w:rsid w:val="00A60E8A"/>
    <w:rsid w:val="00A73EE1"/>
    <w:rsid w:val="00A75915"/>
    <w:rsid w:val="00AD096D"/>
    <w:rsid w:val="00AE0AA7"/>
    <w:rsid w:val="00AF3793"/>
    <w:rsid w:val="00B0418B"/>
    <w:rsid w:val="00B26C86"/>
    <w:rsid w:val="00B674CD"/>
    <w:rsid w:val="00B710FD"/>
    <w:rsid w:val="00B75E33"/>
    <w:rsid w:val="00B97476"/>
    <w:rsid w:val="00BA42D8"/>
    <w:rsid w:val="00BB5373"/>
    <w:rsid w:val="00BD0FAF"/>
    <w:rsid w:val="00BE3325"/>
    <w:rsid w:val="00C375AA"/>
    <w:rsid w:val="00C40490"/>
    <w:rsid w:val="00C51D72"/>
    <w:rsid w:val="00C6549C"/>
    <w:rsid w:val="00D1755F"/>
    <w:rsid w:val="00D223F1"/>
    <w:rsid w:val="00D34A64"/>
    <w:rsid w:val="00D55FA2"/>
    <w:rsid w:val="00D85949"/>
    <w:rsid w:val="00DB3F9E"/>
    <w:rsid w:val="00DF36F7"/>
    <w:rsid w:val="00E40548"/>
    <w:rsid w:val="00E56ADA"/>
    <w:rsid w:val="00EA414E"/>
    <w:rsid w:val="00EB22F8"/>
    <w:rsid w:val="00EF7FF0"/>
    <w:rsid w:val="00F3586B"/>
    <w:rsid w:val="00F68F04"/>
    <w:rsid w:val="00F75184"/>
    <w:rsid w:val="00FA4999"/>
    <w:rsid w:val="00FD1917"/>
    <w:rsid w:val="00FD46B8"/>
    <w:rsid w:val="00FF3E8D"/>
    <w:rsid w:val="02A01A8C"/>
    <w:rsid w:val="02E8BA4C"/>
    <w:rsid w:val="0BC7E3AA"/>
    <w:rsid w:val="1012013A"/>
    <w:rsid w:val="11C089B2"/>
    <w:rsid w:val="14863E4B"/>
    <w:rsid w:val="15A4F890"/>
    <w:rsid w:val="166771AA"/>
    <w:rsid w:val="1CB41A1D"/>
    <w:rsid w:val="258716A3"/>
    <w:rsid w:val="27E73087"/>
    <w:rsid w:val="36FE1C6A"/>
    <w:rsid w:val="3CA29396"/>
    <w:rsid w:val="3EB3453C"/>
    <w:rsid w:val="4750C462"/>
    <w:rsid w:val="4B1D4480"/>
    <w:rsid w:val="507A6EF5"/>
    <w:rsid w:val="5C7C90A2"/>
    <w:rsid w:val="5C839BD8"/>
    <w:rsid w:val="60403BD9"/>
    <w:rsid w:val="606E8613"/>
    <w:rsid w:val="6DD6CB02"/>
    <w:rsid w:val="72E4650C"/>
    <w:rsid w:val="73FA1236"/>
    <w:rsid w:val="75A63A48"/>
    <w:rsid w:val="76AD9175"/>
    <w:rsid w:val="79B61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989C"/>
  <w15:chartTrackingRefBased/>
  <w15:docId w15:val="{2D2BC56D-AA5F-4783-8B8C-51609CCB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8B"/>
    <w:rPr>
      <w:rFonts w:eastAsiaTheme="majorEastAsia" w:cstheme="majorBidi"/>
      <w:color w:val="272727" w:themeColor="text1" w:themeTint="D8"/>
    </w:rPr>
  </w:style>
  <w:style w:type="paragraph" w:styleId="Title">
    <w:name w:val="Title"/>
    <w:basedOn w:val="Normal"/>
    <w:next w:val="Normal"/>
    <w:link w:val="TitleChar"/>
    <w:uiPriority w:val="10"/>
    <w:qFormat/>
    <w:rsid w:val="00B0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8B"/>
    <w:pPr>
      <w:spacing w:before="160"/>
      <w:jc w:val="center"/>
    </w:pPr>
    <w:rPr>
      <w:i/>
      <w:iCs/>
      <w:color w:val="404040" w:themeColor="text1" w:themeTint="BF"/>
    </w:rPr>
  </w:style>
  <w:style w:type="character" w:customStyle="1" w:styleId="QuoteChar">
    <w:name w:val="Quote Char"/>
    <w:basedOn w:val="DefaultParagraphFont"/>
    <w:link w:val="Quote"/>
    <w:uiPriority w:val="29"/>
    <w:rsid w:val="00B0418B"/>
    <w:rPr>
      <w:i/>
      <w:iCs/>
      <w:color w:val="404040" w:themeColor="text1" w:themeTint="BF"/>
    </w:rPr>
  </w:style>
  <w:style w:type="paragraph" w:styleId="ListParagraph">
    <w:name w:val="List Paragraph"/>
    <w:basedOn w:val="Normal"/>
    <w:uiPriority w:val="34"/>
    <w:qFormat/>
    <w:rsid w:val="00B0418B"/>
    <w:pPr>
      <w:ind w:left="720"/>
      <w:contextualSpacing/>
    </w:pPr>
  </w:style>
  <w:style w:type="character" w:styleId="IntenseEmphasis">
    <w:name w:val="Intense Emphasis"/>
    <w:basedOn w:val="DefaultParagraphFont"/>
    <w:uiPriority w:val="21"/>
    <w:qFormat/>
    <w:rsid w:val="00B0418B"/>
    <w:rPr>
      <w:i/>
      <w:iCs/>
      <w:color w:val="0F4761" w:themeColor="accent1" w:themeShade="BF"/>
    </w:rPr>
  </w:style>
  <w:style w:type="paragraph" w:styleId="IntenseQuote">
    <w:name w:val="Intense Quote"/>
    <w:basedOn w:val="Normal"/>
    <w:next w:val="Normal"/>
    <w:link w:val="IntenseQuoteChar"/>
    <w:uiPriority w:val="30"/>
    <w:qFormat/>
    <w:rsid w:val="00B0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18B"/>
    <w:rPr>
      <w:i/>
      <w:iCs/>
      <w:color w:val="0F4761" w:themeColor="accent1" w:themeShade="BF"/>
    </w:rPr>
  </w:style>
  <w:style w:type="character" w:styleId="IntenseReference">
    <w:name w:val="Intense Reference"/>
    <w:basedOn w:val="DefaultParagraphFont"/>
    <w:uiPriority w:val="32"/>
    <w:qFormat/>
    <w:rsid w:val="00B0418B"/>
    <w:rPr>
      <w:b/>
      <w:bCs/>
      <w:smallCaps/>
      <w:color w:val="0F4761" w:themeColor="accent1" w:themeShade="BF"/>
      <w:spacing w:val="5"/>
    </w:rPr>
  </w:style>
  <w:style w:type="paragraph" w:styleId="Header">
    <w:name w:val="header"/>
    <w:basedOn w:val="Normal"/>
    <w:link w:val="HeaderChar"/>
    <w:uiPriority w:val="99"/>
    <w:unhideWhenUsed/>
    <w:rsid w:val="00B04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8B"/>
  </w:style>
  <w:style w:type="paragraph" w:styleId="Footer">
    <w:name w:val="footer"/>
    <w:basedOn w:val="Normal"/>
    <w:link w:val="FooterChar"/>
    <w:uiPriority w:val="99"/>
    <w:unhideWhenUsed/>
    <w:rsid w:val="00B04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8B"/>
  </w:style>
  <w:style w:type="character" w:styleId="Hyperlink">
    <w:name w:val="Hyperlink"/>
    <w:basedOn w:val="DefaultParagraphFont"/>
    <w:uiPriority w:val="99"/>
    <w:unhideWhenUsed/>
    <w:rsid w:val="00B0418B"/>
    <w:rPr>
      <w:color w:val="467886" w:themeColor="hyperlink"/>
      <w:u w:val="single"/>
    </w:rPr>
  </w:style>
  <w:style w:type="character" w:styleId="UnresolvedMention">
    <w:name w:val="Unresolved Mention"/>
    <w:basedOn w:val="DefaultParagraphFont"/>
    <w:uiPriority w:val="99"/>
    <w:semiHidden/>
    <w:unhideWhenUsed/>
    <w:rsid w:val="00B0418B"/>
    <w:rPr>
      <w:color w:val="605E5C"/>
      <w:shd w:val="clear" w:color="auto" w:fill="E1DFDD"/>
    </w:rPr>
  </w:style>
  <w:style w:type="table" w:styleId="TableGrid">
    <w:name w:val="Table Grid"/>
    <w:basedOn w:val="TableNormal"/>
    <w:uiPriority w:val="39"/>
    <w:rsid w:val="00B0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pnz@publicservice.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TKMIES-1962100866-9795</_dlc_DocId>
    <_dlc_DocIdUrl xmlns="063a132e-7922-4f1a-9ebb-16b3e240ff44">
      <Url>https://sscnz.sharepoint.com/sites/IES-SP/_layouts/15/DocIdRedir.aspx?ID=TKMIES-1962100866-9795</Url>
      <Description>TKMIES-1962100866-9795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7C1F8-6BE1-4BAA-A85E-B23B16284FBA}">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2.xml><?xml version="1.0" encoding="utf-8"?>
<ds:datastoreItem xmlns:ds="http://schemas.openxmlformats.org/officeDocument/2006/customXml" ds:itemID="{BF9A7446-FB03-4016-B853-D3353B7DE934}">
  <ds:schemaRefs>
    <ds:schemaRef ds:uri="http://schemas.microsoft.com/sharepoint/v3/contenttype/forms"/>
  </ds:schemaRefs>
</ds:datastoreItem>
</file>

<file path=customXml/itemProps3.xml><?xml version="1.0" encoding="utf-8"?>
<ds:datastoreItem xmlns:ds="http://schemas.openxmlformats.org/officeDocument/2006/customXml" ds:itemID="{07059C2B-5212-4DE2-B181-51174102C1A9}">
  <ds:schemaRefs>
    <ds:schemaRef ds:uri="http://schemas.microsoft.com/sharepoint/events"/>
  </ds:schemaRefs>
</ds:datastoreItem>
</file>

<file path=customXml/itemProps4.xml><?xml version="1.0" encoding="utf-8"?>
<ds:datastoreItem xmlns:ds="http://schemas.openxmlformats.org/officeDocument/2006/customXml" ds:itemID="{B691A453-0BAE-460D-A1FC-F428C43F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e0a67773-b602-44e2-9df0-6b1cc69b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5697</Characters>
  <Application>Microsoft Office Word</Application>
  <DocSecurity>0</DocSecurity>
  <Lines>114</Lines>
  <Paragraphs>66</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Lydia McKinnon</cp:lastModifiedBy>
  <cp:revision>2</cp:revision>
  <cp:lastPrinted>2025-12-04T19:55:00Z</cp:lastPrinted>
  <dcterms:created xsi:type="dcterms:W3CDTF">2025-12-01T21:19:00Z</dcterms:created>
  <dcterms:modified xsi:type="dcterms:W3CDTF">2025-12-04T19:55:00Z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_dlc_DocIdItemGuid">
    <vt:lpwstr>a29cb38c-0f7c-4923-8439-b46bc77fb225</vt:lpwstr>
  </property>
  <property fmtid="{D5CDD505-2E9C-101B-9397-08002B2CF9AE}" pid="4" name="MediaServiceImageTags">
    <vt:lpwstr/>
  </property>
  <property fmtid="{D5CDD505-2E9C-101B-9397-08002B2CF9AE}" pid="5" name="Sub_x002d_heading">
    <vt:lpwstr/>
  </property>
  <property fmtid="{D5CDD505-2E9C-101B-9397-08002B2CF9AE}" pid="6" name="Sub-heading">
    <vt:lpwstr/>
  </property>
</Properties>
</file>