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B1BFB" w14:textId="5A87E261" w:rsidR="00CF0BBE" w:rsidRPr="005047B0" w:rsidRDefault="00891223">
      <w:pPr>
        <w:pStyle w:val="Heading1"/>
        <w:rPr>
          <w:rFonts w:ascii="Source Sans Pro" w:hAnsi="Source Sans Pro"/>
        </w:rPr>
      </w:pPr>
      <w:r w:rsidRPr="005047B0">
        <w:rPr>
          <w:rFonts w:ascii="Source Sans Pro" w:hAnsi="Source Sans Pro"/>
        </w:rPr>
        <w:t xml:space="preserve">OGP NAP5 Progress Report Session – </w:t>
      </w:r>
      <w:r w:rsidR="00813316" w:rsidRPr="005047B0">
        <w:rPr>
          <w:rFonts w:ascii="Source Sans Pro" w:hAnsi="Source Sans Pro"/>
        </w:rPr>
        <w:t>Record of Discussion</w:t>
      </w:r>
    </w:p>
    <w:p w14:paraId="077F83A6" w14:textId="77777777" w:rsidR="003A111B" w:rsidRPr="005047B0" w:rsidRDefault="00891223">
      <w:pPr>
        <w:rPr>
          <w:rFonts w:ascii="Source Sans Pro" w:hAnsi="Source Sans Pro"/>
        </w:rPr>
      </w:pPr>
      <w:r w:rsidRPr="005047B0">
        <w:rPr>
          <w:rFonts w:ascii="Source Sans Pro" w:hAnsi="Source Sans Pro"/>
        </w:rPr>
        <w:t>Date: 24 June 2026</w:t>
      </w:r>
    </w:p>
    <w:p w14:paraId="5492A650" w14:textId="77777777" w:rsidR="00CF0BBE" w:rsidRPr="005047B0" w:rsidRDefault="00891223">
      <w:pPr>
        <w:pStyle w:val="Heading2"/>
        <w:rPr>
          <w:rFonts w:ascii="Source Sans Pro" w:hAnsi="Source Sans Pro"/>
        </w:rPr>
      </w:pPr>
      <w:r w:rsidRPr="005047B0">
        <w:rPr>
          <w:rFonts w:ascii="Source Sans Pro" w:hAnsi="Source Sans Pro"/>
        </w:rPr>
        <w:t>Overview</w:t>
      </w:r>
    </w:p>
    <w:p w14:paraId="09E876EB" w14:textId="186656DF" w:rsidR="008003F4" w:rsidRPr="005047B0" w:rsidRDefault="00891223">
      <w:pPr>
        <w:rPr>
          <w:rFonts w:ascii="Source Sans Pro" w:hAnsi="Source Sans Pro"/>
        </w:rPr>
      </w:pPr>
      <w:r w:rsidRPr="005047B0">
        <w:rPr>
          <w:rFonts w:ascii="Source Sans Pro" w:hAnsi="Source Sans Pro"/>
        </w:rPr>
        <w:t xml:space="preserve">The Public Service Commission </w:t>
      </w:r>
      <w:r w:rsidR="0056773F" w:rsidRPr="005047B0">
        <w:rPr>
          <w:rFonts w:ascii="Source Sans Pro" w:hAnsi="Source Sans Pro"/>
        </w:rPr>
        <w:t xml:space="preserve">(the Commission) </w:t>
      </w:r>
      <w:r w:rsidRPr="005047B0">
        <w:rPr>
          <w:rFonts w:ascii="Source Sans Pro" w:hAnsi="Source Sans Pro"/>
        </w:rPr>
        <w:t xml:space="preserve">hosted the </w:t>
      </w:r>
      <w:r w:rsidR="004E15E3" w:rsidRPr="005047B0">
        <w:rPr>
          <w:rFonts w:ascii="Source Sans Pro" w:hAnsi="Source Sans Pro"/>
        </w:rPr>
        <w:t>2026 progress report</w:t>
      </w:r>
      <w:r w:rsidRPr="005047B0">
        <w:rPr>
          <w:rFonts w:ascii="Source Sans Pro" w:hAnsi="Source Sans Pro"/>
        </w:rPr>
        <w:t xml:space="preserve"> for NAP5 implementation. Updates were provided on all four commitments, </w:t>
      </w:r>
      <w:r w:rsidR="0056773F" w:rsidRPr="005047B0">
        <w:rPr>
          <w:rFonts w:ascii="Source Sans Pro" w:hAnsi="Source Sans Pro"/>
        </w:rPr>
        <w:t>with</w:t>
      </w:r>
      <w:r w:rsidRPr="005047B0">
        <w:rPr>
          <w:rFonts w:ascii="Source Sans Pro" w:hAnsi="Source Sans Pro"/>
        </w:rPr>
        <w:t xml:space="preserve"> discussion and stakeholder </w:t>
      </w:r>
      <w:r w:rsidR="008003F4" w:rsidRPr="005047B0">
        <w:rPr>
          <w:rFonts w:ascii="Source Sans Pro" w:hAnsi="Source Sans Pro"/>
        </w:rPr>
        <w:t>questions after each update</w:t>
      </w:r>
      <w:r w:rsidRPr="005047B0">
        <w:rPr>
          <w:rFonts w:ascii="Source Sans Pro" w:hAnsi="Source Sans Pro"/>
        </w:rPr>
        <w:t>.</w:t>
      </w:r>
    </w:p>
    <w:p w14:paraId="7311A8B1" w14:textId="099D216F" w:rsidR="002D0994" w:rsidRPr="005047B0" w:rsidRDefault="002D0994">
      <w:pPr>
        <w:rPr>
          <w:rFonts w:ascii="Source Sans Pro" w:hAnsi="Source Sans Pro"/>
        </w:rPr>
      </w:pPr>
      <w:r w:rsidRPr="005047B0">
        <w:rPr>
          <w:rFonts w:ascii="Source Sans Pro" w:hAnsi="Source Sans Pro"/>
        </w:rPr>
        <w:t xml:space="preserve">A slide presentation was used to guide </w:t>
      </w:r>
      <w:r w:rsidR="00435EBA" w:rsidRPr="005047B0">
        <w:rPr>
          <w:rFonts w:ascii="Source Sans Pro" w:hAnsi="Source Sans Pro"/>
        </w:rPr>
        <w:t>discussion and</w:t>
      </w:r>
      <w:r w:rsidRPr="005047B0">
        <w:rPr>
          <w:rFonts w:ascii="Source Sans Pro" w:hAnsi="Source Sans Pro"/>
        </w:rPr>
        <w:t xml:space="preserve"> is also available on the OGP NZ website.</w:t>
      </w:r>
    </w:p>
    <w:p w14:paraId="2863A6D3" w14:textId="72006779" w:rsidR="00CF0BBE" w:rsidRPr="005047B0" w:rsidRDefault="00891223">
      <w:pPr>
        <w:pStyle w:val="Heading2"/>
        <w:rPr>
          <w:rFonts w:ascii="Source Sans Pro" w:hAnsi="Source Sans Pro"/>
        </w:rPr>
      </w:pPr>
      <w:r w:rsidRPr="005047B0">
        <w:rPr>
          <w:rFonts w:ascii="Source Sans Pro" w:hAnsi="Source Sans Pro"/>
        </w:rPr>
        <w:t xml:space="preserve">Commitment 1: </w:t>
      </w:r>
      <w:r w:rsidR="00525567" w:rsidRPr="005047B0">
        <w:rPr>
          <w:rFonts w:ascii="Source Sans Pro" w:hAnsi="Source Sans Pro"/>
        </w:rPr>
        <w:t>Review of p</w:t>
      </w:r>
      <w:r w:rsidRPr="005047B0">
        <w:rPr>
          <w:rFonts w:ascii="Source Sans Pro" w:hAnsi="Source Sans Pro"/>
        </w:rPr>
        <w:t xml:space="preserve">rotected </w:t>
      </w:r>
      <w:r w:rsidR="00525567" w:rsidRPr="005047B0">
        <w:rPr>
          <w:rFonts w:ascii="Source Sans Pro" w:hAnsi="Source Sans Pro"/>
        </w:rPr>
        <w:t>d</w:t>
      </w:r>
      <w:r w:rsidRPr="005047B0">
        <w:rPr>
          <w:rFonts w:ascii="Source Sans Pro" w:hAnsi="Source Sans Pro"/>
        </w:rPr>
        <w:t>isclosures</w:t>
      </w:r>
      <w:r w:rsidR="00525567" w:rsidRPr="005047B0">
        <w:rPr>
          <w:rFonts w:ascii="Source Sans Pro" w:hAnsi="Source Sans Pro"/>
        </w:rPr>
        <w:t xml:space="preserve"> practice </w:t>
      </w:r>
    </w:p>
    <w:p w14:paraId="0CAED011" w14:textId="607BBFAD" w:rsidR="00F60EE6" w:rsidRPr="005047B0" w:rsidRDefault="00891223">
      <w:pPr>
        <w:rPr>
          <w:rFonts w:ascii="Source Sans Pro" w:hAnsi="Source Sans Pro"/>
        </w:rPr>
      </w:pPr>
      <w:r w:rsidRPr="005047B0">
        <w:rPr>
          <w:rFonts w:ascii="Source Sans Pro" w:hAnsi="Source Sans Pro"/>
        </w:rPr>
        <w:t>Rodney Scott</w:t>
      </w:r>
      <w:r w:rsidR="00525567" w:rsidRPr="005047B0">
        <w:rPr>
          <w:rFonts w:ascii="Source Sans Pro" w:hAnsi="Source Sans Pro"/>
        </w:rPr>
        <w:t xml:space="preserve"> (P</w:t>
      </w:r>
      <w:r w:rsidR="00945655" w:rsidRPr="005047B0">
        <w:rPr>
          <w:rFonts w:ascii="Source Sans Pro" w:hAnsi="Source Sans Pro"/>
        </w:rPr>
        <w:t xml:space="preserve">ublic </w:t>
      </w:r>
      <w:r w:rsidR="00525567" w:rsidRPr="005047B0">
        <w:rPr>
          <w:rFonts w:ascii="Source Sans Pro" w:hAnsi="Source Sans Pro"/>
        </w:rPr>
        <w:t>S</w:t>
      </w:r>
      <w:r w:rsidR="00945655" w:rsidRPr="005047B0">
        <w:rPr>
          <w:rFonts w:ascii="Source Sans Pro" w:hAnsi="Source Sans Pro"/>
        </w:rPr>
        <w:t xml:space="preserve">ervice </w:t>
      </w:r>
      <w:r w:rsidR="00525567" w:rsidRPr="005047B0">
        <w:rPr>
          <w:rFonts w:ascii="Source Sans Pro" w:hAnsi="Source Sans Pro"/>
        </w:rPr>
        <w:t>C</w:t>
      </w:r>
      <w:r w:rsidR="00945655" w:rsidRPr="005047B0">
        <w:rPr>
          <w:rFonts w:ascii="Source Sans Pro" w:hAnsi="Source Sans Pro"/>
        </w:rPr>
        <w:t>ommission</w:t>
      </w:r>
      <w:r w:rsidR="00525567" w:rsidRPr="005047B0">
        <w:rPr>
          <w:rFonts w:ascii="Source Sans Pro" w:hAnsi="Source Sans Pro"/>
        </w:rPr>
        <w:t>)</w:t>
      </w:r>
      <w:r w:rsidRPr="005047B0">
        <w:rPr>
          <w:rFonts w:ascii="Source Sans Pro" w:hAnsi="Source Sans Pro"/>
        </w:rPr>
        <w:t xml:space="preserve"> outlined progress on the </w:t>
      </w:r>
      <w:r w:rsidR="00CA722E" w:rsidRPr="005047B0">
        <w:rPr>
          <w:rFonts w:ascii="Source Sans Pro" w:hAnsi="Source Sans Pro"/>
        </w:rPr>
        <w:t xml:space="preserve">practice </w:t>
      </w:r>
      <w:r w:rsidRPr="005047B0">
        <w:rPr>
          <w:rFonts w:ascii="Source Sans Pro" w:hAnsi="Source Sans Pro"/>
        </w:rPr>
        <w:t>review of New</w:t>
      </w:r>
      <w:r w:rsidR="00945655" w:rsidRPr="005047B0">
        <w:rPr>
          <w:rFonts w:ascii="Source Sans Pro" w:hAnsi="Source Sans Pro"/>
        </w:rPr>
        <w:t> </w:t>
      </w:r>
      <w:r w:rsidRPr="005047B0">
        <w:rPr>
          <w:rFonts w:ascii="Source Sans Pro" w:hAnsi="Source Sans Pro"/>
        </w:rPr>
        <w:t>Zealand’s protected disclosures system. Work completed to date include</w:t>
      </w:r>
      <w:r w:rsidR="004269E1" w:rsidRPr="005047B0">
        <w:rPr>
          <w:rFonts w:ascii="Source Sans Pro" w:hAnsi="Source Sans Pro"/>
        </w:rPr>
        <w:t>d</w:t>
      </w:r>
      <w:r w:rsidRPr="005047B0">
        <w:rPr>
          <w:rFonts w:ascii="Source Sans Pro" w:hAnsi="Source Sans Pro"/>
        </w:rPr>
        <w:t xml:space="preserve"> </w:t>
      </w:r>
      <w:r w:rsidR="004269E1" w:rsidRPr="005047B0">
        <w:rPr>
          <w:rFonts w:ascii="Source Sans Pro" w:hAnsi="Source Sans Pro"/>
        </w:rPr>
        <w:t>making the</w:t>
      </w:r>
      <w:r w:rsidRPr="005047B0">
        <w:rPr>
          <w:rFonts w:ascii="Source Sans Pro" w:hAnsi="Source Sans Pro"/>
        </w:rPr>
        <w:t xml:space="preserve"> information </w:t>
      </w:r>
      <w:r w:rsidR="004269E1" w:rsidRPr="005047B0">
        <w:rPr>
          <w:rFonts w:ascii="Source Sans Pro" w:hAnsi="Source Sans Pro"/>
        </w:rPr>
        <w:t xml:space="preserve">about protected disclosures on the Commission website more </w:t>
      </w:r>
      <w:r w:rsidRPr="005047B0">
        <w:rPr>
          <w:rFonts w:ascii="Source Sans Pro" w:hAnsi="Source Sans Pro"/>
        </w:rPr>
        <w:t>user-friendly</w:t>
      </w:r>
      <w:r w:rsidR="004269E1" w:rsidRPr="005047B0">
        <w:rPr>
          <w:rFonts w:ascii="Source Sans Pro" w:hAnsi="Source Sans Pro"/>
        </w:rPr>
        <w:t xml:space="preserve"> and accessible, and improving the i</w:t>
      </w:r>
      <w:r w:rsidRPr="005047B0">
        <w:rPr>
          <w:rFonts w:ascii="Source Sans Pro" w:hAnsi="Source Sans Pro"/>
        </w:rPr>
        <w:t>nformation</w:t>
      </w:r>
      <w:r w:rsidR="004269E1" w:rsidRPr="005047B0">
        <w:rPr>
          <w:rFonts w:ascii="Source Sans Pro" w:hAnsi="Source Sans Pro"/>
        </w:rPr>
        <w:t xml:space="preserve"> available r</w:t>
      </w:r>
      <w:r w:rsidRPr="005047B0">
        <w:rPr>
          <w:rFonts w:ascii="Source Sans Pro" w:hAnsi="Source Sans Pro"/>
        </w:rPr>
        <w:t xml:space="preserve">etaliation. </w:t>
      </w:r>
      <w:r w:rsidR="00F60EE6" w:rsidRPr="005047B0">
        <w:rPr>
          <w:rFonts w:ascii="Source Sans Pro" w:hAnsi="Source Sans Pro"/>
        </w:rPr>
        <w:t>A desktop review of international protected disclos</w:t>
      </w:r>
      <w:r w:rsidR="46D7E97F" w:rsidRPr="005047B0">
        <w:rPr>
          <w:rFonts w:ascii="Source Sans Pro" w:hAnsi="Source Sans Pro"/>
        </w:rPr>
        <w:t>ure</w:t>
      </w:r>
      <w:r w:rsidR="00F60EE6" w:rsidRPr="005047B0">
        <w:rPr>
          <w:rFonts w:ascii="Source Sans Pro" w:hAnsi="Source Sans Pro"/>
        </w:rPr>
        <w:t xml:space="preserve"> practice </w:t>
      </w:r>
      <w:r w:rsidR="00CE3B34" w:rsidRPr="005047B0">
        <w:rPr>
          <w:rFonts w:ascii="Source Sans Pro" w:hAnsi="Source Sans Pro"/>
        </w:rPr>
        <w:t xml:space="preserve">(focusing on OECD countries) and academic research has also been completed. </w:t>
      </w:r>
      <w:r w:rsidR="00F3305D" w:rsidRPr="005047B0">
        <w:rPr>
          <w:rFonts w:ascii="Source Sans Pro" w:hAnsi="Source Sans Pro"/>
        </w:rPr>
        <w:t>Interviews with New Zealand practitioner</w:t>
      </w:r>
      <w:r w:rsidR="00DA3480" w:rsidRPr="005047B0">
        <w:rPr>
          <w:rFonts w:ascii="Source Sans Pro" w:hAnsi="Source Sans Pro"/>
        </w:rPr>
        <w:t>s was about to begin</w:t>
      </w:r>
      <w:r w:rsidR="7D99386B" w:rsidRPr="005047B0">
        <w:rPr>
          <w:rFonts w:ascii="Source Sans Pro" w:hAnsi="Source Sans Pro"/>
        </w:rPr>
        <w:t>, with the g</w:t>
      </w:r>
      <w:r w:rsidR="001F1C38" w:rsidRPr="005047B0">
        <w:rPr>
          <w:rFonts w:ascii="Source Sans Pro" w:hAnsi="Source Sans Pro"/>
        </w:rPr>
        <w:t xml:space="preserve">oal </w:t>
      </w:r>
      <w:r w:rsidR="53666FF2" w:rsidRPr="005047B0">
        <w:rPr>
          <w:rFonts w:ascii="Source Sans Pro" w:hAnsi="Source Sans Pro"/>
        </w:rPr>
        <w:t>of finding</w:t>
      </w:r>
      <w:r w:rsidR="001F1C38" w:rsidRPr="005047B0">
        <w:rPr>
          <w:rFonts w:ascii="Source Sans Pro" w:hAnsi="Source Sans Pro"/>
        </w:rPr>
        <w:t xml:space="preserve"> out about practice from an agency perspective</w:t>
      </w:r>
      <w:r w:rsidR="000F7F33" w:rsidRPr="005047B0">
        <w:rPr>
          <w:rFonts w:ascii="Source Sans Pro" w:hAnsi="Source Sans Pro"/>
        </w:rPr>
        <w:t xml:space="preserve"> </w:t>
      </w:r>
      <w:r w:rsidR="001F1C38" w:rsidRPr="005047B0">
        <w:rPr>
          <w:rFonts w:ascii="Source Sans Pro" w:hAnsi="Source Sans Pro"/>
        </w:rPr>
        <w:t xml:space="preserve">and opportunities </w:t>
      </w:r>
      <w:r w:rsidR="3D80E757" w:rsidRPr="005047B0">
        <w:rPr>
          <w:rFonts w:ascii="Source Sans Pro" w:hAnsi="Source Sans Pro"/>
        </w:rPr>
        <w:t>for improvement</w:t>
      </w:r>
      <w:r w:rsidR="001F1C38" w:rsidRPr="005047B0">
        <w:rPr>
          <w:rFonts w:ascii="Source Sans Pro" w:hAnsi="Source Sans Pro"/>
        </w:rPr>
        <w:t xml:space="preserve">. </w:t>
      </w:r>
      <w:r w:rsidR="000F7F33" w:rsidRPr="005047B0">
        <w:rPr>
          <w:rFonts w:ascii="Source Sans Pro" w:hAnsi="Source Sans Pro"/>
        </w:rPr>
        <w:t>Challenges include the fact protected disclosures are confidential so it</w:t>
      </w:r>
      <w:r w:rsidR="00661735" w:rsidRPr="005047B0">
        <w:rPr>
          <w:rFonts w:ascii="Source Sans Pro" w:hAnsi="Source Sans Pro"/>
        </w:rPr>
        <w:t xml:space="preserve"> can be</w:t>
      </w:r>
      <w:r w:rsidR="000F7F33" w:rsidRPr="005047B0">
        <w:rPr>
          <w:rFonts w:ascii="Source Sans Pro" w:hAnsi="Source Sans Pro"/>
        </w:rPr>
        <w:t xml:space="preserve"> hard to get information</w:t>
      </w:r>
      <w:r w:rsidR="00F461E0" w:rsidRPr="005047B0">
        <w:rPr>
          <w:rFonts w:ascii="Source Sans Pro" w:hAnsi="Source Sans Pro"/>
        </w:rPr>
        <w:t xml:space="preserve"> </w:t>
      </w:r>
      <w:r w:rsidR="00661735" w:rsidRPr="005047B0">
        <w:rPr>
          <w:rFonts w:ascii="Source Sans Pro" w:hAnsi="Source Sans Pro"/>
        </w:rPr>
        <w:t>or</w:t>
      </w:r>
      <w:r w:rsidR="00F461E0" w:rsidRPr="005047B0">
        <w:rPr>
          <w:rFonts w:ascii="Source Sans Pro" w:hAnsi="Source Sans Pro"/>
        </w:rPr>
        <w:t xml:space="preserve"> contact disclosers about their experiences</w:t>
      </w:r>
      <w:r w:rsidR="00661735" w:rsidRPr="005047B0">
        <w:rPr>
          <w:rFonts w:ascii="Source Sans Pro" w:hAnsi="Source Sans Pro"/>
        </w:rPr>
        <w:t xml:space="preserve">. </w:t>
      </w:r>
      <w:r w:rsidR="005D72AD" w:rsidRPr="005047B0">
        <w:rPr>
          <w:rFonts w:ascii="Source Sans Pro" w:hAnsi="Source Sans Pro"/>
        </w:rPr>
        <w:t>Scoping the community of practice is yet to begin</w:t>
      </w:r>
      <w:r w:rsidR="00217325" w:rsidRPr="005047B0">
        <w:rPr>
          <w:rFonts w:ascii="Source Sans Pro" w:hAnsi="Source Sans Pro"/>
        </w:rPr>
        <w:t xml:space="preserve">, but this will be part of the discussion with agencies in interviews. </w:t>
      </w:r>
    </w:p>
    <w:p w14:paraId="4551CAB8" w14:textId="1441DCB4" w:rsidR="004C65C7" w:rsidRPr="005047B0" w:rsidRDefault="004C65C7" w:rsidP="004C65C7">
      <w:pPr>
        <w:rPr>
          <w:rFonts w:ascii="Source Sans Pro" w:hAnsi="Source Sans Pro"/>
        </w:rPr>
      </w:pPr>
      <w:r w:rsidRPr="005047B0">
        <w:rPr>
          <w:rFonts w:ascii="Source Sans Pro" w:hAnsi="Source Sans Pro"/>
        </w:rPr>
        <w:t>Discussion</w:t>
      </w:r>
      <w:r w:rsidR="002C6087" w:rsidRPr="005047B0">
        <w:rPr>
          <w:rFonts w:ascii="Source Sans Pro" w:hAnsi="Source Sans Pro"/>
        </w:rPr>
        <w:t xml:space="preserve"> focused on </w:t>
      </w:r>
      <w:r w:rsidRPr="005047B0">
        <w:rPr>
          <w:rFonts w:ascii="Source Sans Pro" w:hAnsi="Source Sans Pro"/>
        </w:rPr>
        <w:t xml:space="preserve">the experiences of people making protected disclosures and whether the current system provides sufficient protection in practice. Participants emphasised that successful reform should be judged not only by how information is managed, but also by whether people feel safe making disclosures. Several contributors encouraged the review to identify future reform opportunities, including potential legislative changes, even though this is outside the current scope of the commitment. </w:t>
      </w:r>
    </w:p>
    <w:p w14:paraId="3402970B" w14:textId="77777777" w:rsidR="00CF0BBE" w:rsidRPr="005047B0" w:rsidRDefault="00891223">
      <w:pPr>
        <w:pStyle w:val="Heading2"/>
        <w:rPr>
          <w:rFonts w:ascii="Source Sans Pro" w:hAnsi="Source Sans Pro"/>
        </w:rPr>
      </w:pPr>
      <w:r w:rsidRPr="005047B0">
        <w:rPr>
          <w:rFonts w:ascii="Source Sans Pro" w:hAnsi="Source Sans Pro"/>
        </w:rPr>
        <w:t>Commitment 2: Corruption Risk Assessment Tool</w:t>
      </w:r>
    </w:p>
    <w:p w14:paraId="2F0F0525" w14:textId="6765E883" w:rsidR="005B2C26" w:rsidRPr="005047B0" w:rsidRDefault="00891223">
      <w:pPr>
        <w:rPr>
          <w:rFonts w:ascii="Source Sans Pro" w:hAnsi="Source Sans Pro"/>
        </w:rPr>
      </w:pPr>
      <w:r w:rsidRPr="005047B0">
        <w:rPr>
          <w:rFonts w:ascii="Source Sans Pro" w:hAnsi="Source Sans Pro"/>
        </w:rPr>
        <w:t>Rose Rehm</w:t>
      </w:r>
      <w:r w:rsidR="00AD55DA" w:rsidRPr="005047B0">
        <w:rPr>
          <w:rFonts w:ascii="Source Sans Pro" w:hAnsi="Source Sans Pro"/>
        </w:rPr>
        <w:t xml:space="preserve"> (</w:t>
      </w:r>
      <w:r w:rsidRPr="005047B0">
        <w:rPr>
          <w:rFonts w:ascii="Source Sans Pro" w:hAnsi="Source Sans Pro"/>
        </w:rPr>
        <w:t>Serious Fraud Office</w:t>
      </w:r>
      <w:r w:rsidR="00AD55DA" w:rsidRPr="005047B0">
        <w:rPr>
          <w:rFonts w:ascii="Source Sans Pro" w:hAnsi="Source Sans Pro"/>
        </w:rPr>
        <w:t>)</w:t>
      </w:r>
      <w:r w:rsidRPr="005047B0">
        <w:rPr>
          <w:rFonts w:ascii="Source Sans Pro" w:hAnsi="Source Sans Pro"/>
        </w:rPr>
        <w:t xml:space="preserve"> reported strong progress on the development of a corruption risk assessment tool for public sector agencies. Research, consultation and initial design work have been completed, with further testing planned before publication in 2027. </w:t>
      </w:r>
      <w:r w:rsidR="001F331E" w:rsidRPr="005047B0">
        <w:rPr>
          <w:rFonts w:ascii="Source Sans Pro" w:hAnsi="Source Sans Pro"/>
        </w:rPr>
        <w:t>Th</w:t>
      </w:r>
      <w:r w:rsidR="009477E0" w:rsidRPr="005047B0">
        <w:rPr>
          <w:rFonts w:ascii="Source Sans Pro" w:hAnsi="Source Sans Pro"/>
        </w:rPr>
        <w:t>e</w:t>
      </w:r>
      <w:r w:rsidR="001F331E" w:rsidRPr="005047B0">
        <w:rPr>
          <w:rFonts w:ascii="Source Sans Pro" w:hAnsi="Source Sans Pro"/>
        </w:rPr>
        <w:t xml:space="preserve"> tool wi</w:t>
      </w:r>
      <w:r w:rsidR="009477E0" w:rsidRPr="005047B0">
        <w:rPr>
          <w:rFonts w:ascii="Source Sans Pro" w:hAnsi="Source Sans Pro"/>
        </w:rPr>
        <w:t>ll</w:t>
      </w:r>
      <w:r w:rsidR="001F331E" w:rsidRPr="005047B0">
        <w:rPr>
          <w:rFonts w:ascii="Source Sans Pro" w:hAnsi="Source Sans Pro"/>
        </w:rPr>
        <w:t xml:space="preserve"> help agencies identify corruption and insider threat risk</w:t>
      </w:r>
      <w:r w:rsidR="009477E0" w:rsidRPr="005047B0">
        <w:rPr>
          <w:rFonts w:ascii="Source Sans Pro" w:hAnsi="Source Sans Pro"/>
        </w:rPr>
        <w:t xml:space="preserve"> and is intended to be </w:t>
      </w:r>
      <w:r w:rsidR="00C67165" w:rsidRPr="005047B0">
        <w:rPr>
          <w:rFonts w:ascii="Source Sans Pro" w:hAnsi="Source Sans Pro"/>
        </w:rPr>
        <w:t xml:space="preserve">practical, </w:t>
      </w:r>
      <w:r w:rsidR="009477E0" w:rsidRPr="005047B0">
        <w:rPr>
          <w:rFonts w:ascii="Source Sans Pro" w:hAnsi="Source Sans Pro"/>
        </w:rPr>
        <w:t xml:space="preserve">easy to use and accessible. </w:t>
      </w:r>
      <w:r w:rsidR="005B2C26" w:rsidRPr="005047B0">
        <w:rPr>
          <w:rFonts w:ascii="Source Sans Pro" w:hAnsi="Source Sans Pro"/>
        </w:rPr>
        <w:t xml:space="preserve">A key challenge noted </w:t>
      </w:r>
      <w:r w:rsidR="00F86DEB" w:rsidRPr="005047B0">
        <w:rPr>
          <w:rFonts w:ascii="Source Sans Pro" w:hAnsi="Source Sans Pro"/>
        </w:rPr>
        <w:t>wa</w:t>
      </w:r>
      <w:r w:rsidR="005B2C26" w:rsidRPr="005047B0">
        <w:rPr>
          <w:rFonts w:ascii="Source Sans Pro" w:hAnsi="Source Sans Pro"/>
        </w:rPr>
        <w:t>s that the tool is voluntary and uptake depends on agencies choosing to use the tool</w:t>
      </w:r>
      <w:r w:rsidR="00C67165" w:rsidRPr="005047B0">
        <w:rPr>
          <w:rFonts w:ascii="Source Sans Pro" w:hAnsi="Source Sans Pro"/>
        </w:rPr>
        <w:t xml:space="preserve">, which is why user testing has been valuable. </w:t>
      </w:r>
    </w:p>
    <w:p w14:paraId="11ADAAA8" w14:textId="77777777" w:rsidR="00812883" w:rsidRPr="005047B0" w:rsidRDefault="00812883" w:rsidP="00812883">
      <w:pPr>
        <w:rPr>
          <w:rFonts w:ascii="Source Sans Pro" w:hAnsi="Source Sans Pro"/>
        </w:rPr>
      </w:pPr>
      <w:r w:rsidRPr="005047B0">
        <w:rPr>
          <w:rFonts w:ascii="Source Sans Pro" w:hAnsi="Source Sans Pro"/>
        </w:rPr>
        <w:t>Participants broadly welcomed the initiative and highlighted the importance of improving awareness of corruption risks across the public sector. Discussion covered the challenge of encouraging voluntary uptake and how awareness-building, executive sponsorship, audit processes, and existing assurance mechanisms could help drive engagement. Contributors noted that corruption prevention often depends on relatively simple controls and encouraged continued focus on culture change, practical implementation, and ongoing evaluation once the tool is deployed</w:t>
      </w:r>
    </w:p>
    <w:p w14:paraId="7E643A32" w14:textId="77777777" w:rsidR="00CF0BBE" w:rsidRPr="005047B0" w:rsidRDefault="00891223">
      <w:pPr>
        <w:pStyle w:val="Heading2"/>
        <w:rPr>
          <w:rFonts w:ascii="Source Sans Pro" w:hAnsi="Source Sans Pro"/>
        </w:rPr>
      </w:pPr>
      <w:r w:rsidRPr="005047B0">
        <w:rPr>
          <w:rFonts w:ascii="Source Sans Pro" w:hAnsi="Source Sans Pro"/>
        </w:rPr>
        <w:t>Commitment 3: Ethical Government–Private Sector Career Transitions</w:t>
      </w:r>
    </w:p>
    <w:p w14:paraId="30E9124B" w14:textId="44F3C436" w:rsidR="00F90CAF" w:rsidRPr="005047B0" w:rsidRDefault="00891223" w:rsidP="00F90CAF">
      <w:pPr>
        <w:rPr>
          <w:rFonts w:ascii="Source Sans Pro" w:hAnsi="Source Sans Pro"/>
        </w:rPr>
      </w:pPr>
      <w:r w:rsidRPr="005047B0">
        <w:rPr>
          <w:rFonts w:ascii="Source Sans Pro" w:hAnsi="Source Sans Pro"/>
        </w:rPr>
        <w:t>Lydia McKinnon</w:t>
      </w:r>
      <w:r w:rsidR="00812883" w:rsidRPr="005047B0">
        <w:rPr>
          <w:rFonts w:ascii="Source Sans Pro" w:hAnsi="Source Sans Pro"/>
        </w:rPr>
        <w:t xml:space="preserve"> (P</w:t>
      </w:r>
      <w:r w:rsidR="007C5EF0" w:rsidRPr="005047B0">
        <w:rPr>
          <w:rFonts w:ascii="Source Sans Pro" w:hAnsi="Source Sans Pro"/>
        </w:rPr>
        <w:t>ublic Service Commission</w:t>
      </w:r>
      <w:r w:rsidR="00812883" w:rsidRPr="005047B0">
        <w:rPr>
          <w:rFonts w:ascii="Source Sans Pro" w:hAnsi="Source Sans Pro"/>
        </w:rPr>
        <w:t>)</w:t>
      </w:r>
      <w:r w:rsidRPr="005047B0">
        <w:rPr>
          <w:rFonts w:ascii="Source Sans Pro" w:hAnsi="Source Sans Pro"/>
        </w:rPr>
        <w:t xml:space="preserve"> provided an update on work examining the risks and benefits associated with movement between government and non-government roles. </w:t>
      </w:r>
      <w:r w:rsidR="007C5EF0" w:rsidRPr="005047B0">
        <w:rPr>
          <w:rFonts w:ascii="Source Sans Pro" w:hAnsi="Source Sans Pro"/>
        </w:rPr>
        <w:t xml:space="preserve">The </w:t>
      </w:r>
      <w:r w:rsidRPr="005047B0">
        <w:rPr>
          <w:rFonts w:ascii="Source Sans Pro" w:hAnsi="Source Sans Pro"/>
        </w:rPr>
        <w:t>Research, international comparisons and engagement</w:t>
      </w:r>
      <w:r w:rsidR="000A5193" w:rsidRPr="005047B0">
        <w:rPr>
          <w:rFonts w:ascii="Source Sans Pro" w:hAnsi="Source Sans Pro"/>
        </w:rPr>
        <w:t xml:space="preserve"> with a reference group</w:t>
      </w:r>
      <w:r w:rsidRPr="005047B0">
        <w:rPr>
          <w:rFonts w:ascii="Source Sans Pro" w:hAnsi="Source Sans Pro"/>
        </w:rPr>
        <w:t xml:space="preserve"> have informed a draft discussion document</w:t>
      </w:r>
      <w:r w:rsidR="00855C9A" w:rsidRPr="005047B0">
        <w:rPr>
          <w:rFonts w:ascii="Source Sans Pro" w:hAnsi="Source Sans Pro"/>
        </w:rPr>
        <w:t xml:space="preserve"> written by the Commission and the Ministry of Justice</w:t>
      </w:r>
      <w:r w:rsidRPr="005047B0">
        <w:rPr>
          <w:rFonts w:ascii="Source Sans Pro" w:hAnsi="Source Sans Pro"/>
        </w:rPr>
        <w:t xml:space="preserve"> that has been provided to the responsible Minister. </w:t>
      </w:r>
      <w:r w:rsidR="00F90CAF" w:rsidRPr="005047B0">
        <w:rPr>
          <w:rFonts w:ascii="Source Sans Pro" w:hAnsi="Source Sans Pro"/>
        </w:rPr>
        <w:t>Cabinet timing ahead of the election period remains the primary delivery challenge.</w:t>
      </w:r>
    </w:p>
    <w:p w14:paraId="560D23D6" w14:textId="019CB728" w:rsidR="00F90CAF" w:rsidRPr="005047B0" w:rsidRDefault="00F90CAF" w:rsidP="00F90CAF">
      <w:pPr>
        <w:rPr>
          <w:rFonts w:ascii="Source Sans Pro" w:hAnsi="Source Sans Pro"/>
        </w:rPr>
      </w:pPr>
      <w:r w:rsidRPr="005047B0">
        <w:rPr>
          <w:rFonts w:ascii="Source Sans Pro" w:hAnsi="Source Sans Pro"/>
        </w:rPr>
        <w:t xml:space="preserve">Discussion highlighted the complexity of balancing integrity risks with the significant benefits that career mobility can bring. Participants noted the value of bringing practical experience and expertise into government while also recognising risks associated with procurement, policy development, regulatory decisions, lobbying, and access to information. There was strong support for maintaining a broad scope beyond lobbying alone and for considering the issue as part of a wider high-integrity public sector system. International examples and lessons from comparable jurisdictions were discussed, alongside the need to carefully weigh any restrictions against individual freedoms and labour market realities. </w:t>
      </w:r>
    </w:p>
    <w:p w14:paraId="7D8D9A46" w14:textId="77777777" w:rsidR="00CF0BBE" w:rsidRPr="005047B0" w:rsidRDefault="00891223">
      <w:pPr>
        <w:pStyle w:val="Heading2"/>
        <w:rPr>
          <w:rFonts w:ascii="Source Sans Pro" w:hAnsi="Source Sans Pro"/>
        </w:rPr>
      </w:pPr>
      <w:r w:rsidRPr="005047B0">
        <w:rPr>
          <w:rFonts w:ascii="Source Sans Pro" w:hAnsi="Source Sans Pro"/>
        </w:rPr>
        <w:t>Commitment 4: Transparency of Senior Leaders’ Conflicts of Interest</w:t>
      </w:r>
    </w:p>
    <w:p w14:paraId="404F0FBD" w14:textId="36B29BBE" w:rsidR="000A5193" w:rsidRPr="005047B0" w:rsidRDefault="00891223">
      <w:pPr>
        <w:rPr>
          <w:rFonts w:ascii="Source Sans Pro" w:hAnsi="Source Sans Pro"/>
        </w:rPr>
      </w:pPr>
      <w:r w:rsidRPr="005047B0">
        <w:rPr>
          <w:rFonts w:ascii="Source Sans Pro" w:hAnsi="Source Sans Pro"/>
        </w:rPr>
        <w:t xml:space="preserve">Vishnu Seger </w:t>
      </w:r>
      <w:r w:rsidR="000A5193" w:rsidRPr="005047B0">
        <w:rPr>
          <w:rFonts w:ascii="Source Sans Pro" w:hAnsi="Source Sans Pro"/>
        </w:rPr>
        <w:t>(P</w:t>
      </w:r>
      <w:r w:rsidR="00D341DC" w:rsidRPr="005047B0">
        <w:rPr>
          <w:rFonts w:ascii="Source Sans Pro" w:hAnsi="Source Sans Pro"/>
        </w:rPr>
        <w:t>ublic Service Commission</w:t>
      </w:r>
      <w:r w:rsidR="000A5193" w:rsidRPr="005047B0">
        <w:rPr>
          <w:rFonts w:ascii="Source Sans Pro" w:hAnsi="Source Sans Pro"/>
        </w:rPr>
        <w:t xml:space="preserve">) </w:t>
      </w:r>
      <w:r w:rsidRPr="005047B0">
        <w:rPr>
          <w:rFonts w:ascii="Source Sans Pro" w:hAnsi="Source Sans Pro"/>
        </w:rPr>
        <w:t xml:space="preserve">outlined progress on options to improve transparency around senior leaders’ conflicts of interest. Research </w:t>
      </w:r>
      <w:r w:rsidR="000A5193" w:rsidRPr="005047B0">
        <w:rPr>
          <w:rFonts w:ascii="Source Sans Pro" w:hAnsi="Source Sans Pro"/>
        </w:rPr>
        <w:t xml:space="preserve">and </w:t>
      </w:r>
      <w:r w:rsidRPr="005047B0">
        <w:rPr>
          <w:rFonts w:ascii="Source Sans Pro" w:hAnsi="Source Sans Pro"/>
        </w:rPr>
        <w:t>engagement</w:t>
      </w:r>
      <w:r w:rsidR="000A5193" w:rsidRPr="005047B0">
        <w:rPr>
          <w:rFonts w:ascii="Source Sans Pro" w:hAnsi="Source Sans Pro"/>
        </w:rPr>
        <w:t xml:space="preserve"> with a reference group has</w:t>
      </w:r>
      <w:r w:rsidRPr="005047B0">
        <w:rPr>
          <w:rFonts w:ascii="Source Sans Pro" w:hAnsi="Source Sans Pro"/>
        </w:rPr>
        <w:t xml:space="preserve"> been completed</w:t>
      </w:r>
      <w:r w:rsidR="000A5193" w:rsidRPr="005047B0">
        <w:rPr>
          <w:rFonts w:ascii="Source Sans Pro" w:hAnsi="Source Sans Pro"/>
        </w:rPr>
        <w:t>,</w:t>
      </w:r>
      <w:r w:rsidRPr="005047B0">
        <w:rPr>
          <w:rFonts w:ascii="Source Sans Pro" w:hAnsi="Source Sans Pro"/>
        </w:rPr>
        <w:t xml:space="preserve"> and a discussion document is being prepared for consultation</w:t>
      </w:r>
      <w:r w:rsidR="000A5193" w:rsidRPr="005047B0">
        <w:rPr>
          <w:rFonts w:ascii="Source Sans Pro" w:hAnsi="Source Sans Pro"/>
        </w:rPr>
        <w:t xml:space="preserve"> with impacted senior leaders</w:t>
      </w:r>
      <w:r w:rsidRPr="005047B0">
        <w:rPr>
          <w:rFonts w:ascii="Source Sans Pro" w:hAnsi="Source Sans Pro"/>
        </w:rPr>
        <w:t xml:space="preserve">. </w:t>
      </w:r>
    </w:p>
    <w:p w14:paraId="2903EB7D" w14:textId="34B3EDEB" w:rsidR="00B409DB" w:rsidRPr="005047B0" w:rsidRDefault="00B409DB" w:rsidP="00B409DB">
      <w:pPr>
        <w:rPr>
          <w:rFonts w:ascii="Source Sans Pro" w:hAnsi="Source Sans Pro"/>
        </w:rPr>
      </w:pPr>
      <w:r w:rsidRPr="005047B0">
        <w:rPr>
          <w:rFonts w:ascii="Source Sans Pro" w:hAnsi="Source Sans Pro"/>
        </w:rPr>
        <w:t>Discussion focused on implementation design. Participants emphasised the importance of common data standards, consistency, and ensuring that published information is genuinely useful rather than simply available. There was interest in understanding the respective advantages of centralised, federated, and agency-led approaches, and broad agreement that consistency of data and accessibility would be critical regardless of the model ultimately adopted</w:t>
      </w:r>
      <w:r w:rsidR="00704D6E" w:rsidRPr="005047B0">
        <w:rPr>
          <w:rFonts w:ascii="Source Sans Pro" w:hAnsi="Source Sans Pro"/>
        </w:rPr>
        <w:t>.</w:t>
      </w:r>
    </w:p>
    <w:p w14:paraId="744689BB" w14:textId="77777777" w:rsidR="00CF0BBE" w:rsidRPr="005047B0" w:rsidRDefault="00891223">
      <w:pPr>
        <w:pStyle w:val="Heading2"/>
        <w:rPr>
          <w:rFonts w:ascii="Source Sans Pro" w:hAnsi="Source Sans Pro"/>
        </w:rPr>
      </w:pPr>
      <w:r w:rsidRPr="005047B0">
        <w:rPr>
          <w:rFonts w:ascii="Source Sans Pro" w:hAnsi="Source Sans Pro"/>
        </w:rPr>
        <w:t>Broader OGP Discussion</w:t>
      </w:r>
    </w:p>
    <w:p w14:paraId="511EC12B" w14:textId="13945935" w:rsidR="00A83E4F" w:rsidRPr="005047B0" w:rsidRDefault="00891223" w:rsidP="00A83E4F">
      <w:pPr>
        <w:rPr>
          <w:rFonts w:ascii="Source Sans Pro" w:hAnsi="Source Sans Pro"/>
        </w:rPr>
      </w:pPr>
      <w:r w:rsidRPr="005047B0">
        <w:rPr>
          <w:rFonts w:ascii="Source Sans Pro" w:hAnsi="Source Sans Pro"/>
        </w:rPr>
        <w:t>Participants discussed wider OGP implementation, transparency</w:t>
      </w:r>
      <w:r w:rsidR="00A83E4F" w:rsidRPr="005047B0">
        <w:rPr>
          <w:rFonts w:ascii="Source Sans Pro" w:hAnsi="Source Sans Pro"/>
        </w:rPr>
        <w:t xml:space="preserve"> and </w:t>
      </w:r>
      <w:r w:rsidRPr="005047B0">
        <w:rPr>
          <w:rFonts w:ascii="Source Sans Pro" w:hAnsi="Source Sans Pro"/>
        </w:rPr>
        <w:t>future engagement opportunities. Updates were also provided on related work being undertaken by civil society organisations.</w:t>
      </w:r>
      <w:r w:rsidR="00A83E4F" w:rsidRPr="005047B0">
        <w:rPr>
          <w:rFonts w:ascii="Source Sans Pro" w:hAnsi="Source Sans Pro"/>
        </w:rPr>
        <w:t xml:space="preserve"> Discussion noted that generally good progress had been made across the four commitments.</w:t>
      </w:r>
      <w:r w:rsidR="00836854" w:rsidRPr="005047B0">
        <w:rPr>
          <w:rFonts w:ascii="Source Sans Pro" w:hAnsi="Source Sans Pro"/>
        </w:rPr>
        <w:t xml:space="preserve"> Participants encourage</w:t>
      </w:r>
      <w:r w:rsidR="00231D92" w:rsidRPr="005047B0">
        <w:rPr>
          <w:rFonts w:ascii="Source Sans Pro" w:hAnsi="Source Sans Pro"/>
        </w:rPr>
        <w:t>d</w:t>
      </w:r>
      <w:r w:rsidR="00836854" w:rsidRPr="005047B0">
        <w:rPr>
          <w:rFonts w:ascii="Source Sans Pro" w:hAnsi="Source Sans Pro"/>
        </w:rPr>
        <w:t xml:space="preserve"> the Commission to </w:t>
      </w:r>
      <w:r w:rsidR="00231D92" w:rsidRPr="005047B0">
        <w:rPr>
          <w:rFonts w:ascii="Source Sans Pro" w:hAnsi="Source Sans Pro"/>
        </w:rPr>
        <w:t xml:space="preserve">include OGP in </w:t>
      </w:r>
      <w:r w:rsidR="00A93949" w:rsidRPr="005047B0">
        <w:rPr>
          <w:rFonts w:ascii="Source Sans Pro" w:hAnsi="Source Sans Pro"/>
        </w:rPr>
        <w:t>the B</w:t>
      </w:r>
      <w:r w:rsidR="00231D92" w:rsidRPr="005047B0">
        <w:rPr>
          <w:rFonts w:ascii="Source Sans Pro" w:hAnsi="Source Sans Pro"/>
        </w:rPr>
        <w:t xml:space="preserve">riefing to the </w:t>
      </w:r>
      <w:r w:rsidR="00A93949" w:rsidRPr="005047B0">
        <w:rPr>
          <w:rFonts w:ascii="Source Sans Pro" w:hAnsi="Source Sans Pro"/>
        </w:rPr>
        <w:t>I</w:t>
      </w:r>
      <w:r w:rsidR="00231D92" w:rsidRPr="005047B0">
        <w:rPr>
          <w:rFonts w:ascii="Source Sans Pro" w:hAnsi="Source Sans Pro"/>
        </w:rPr>
        <w:t xml:space="preserve">ncoming </w:t>
      </w:r>
      <w:r w:rsidR="00A93949" w:rsidRPr="005047B0">
        <w:rPr>
          <w:rFonts w:ascii="Source Sans Pro" w:hAnsi="Source Sans Pro"/>
        </w:rPr>
        <w:t>M</w:t>
      </w:r>
      <w:r w:rsidR="00231D92" w:rsidRPr="005047B0">
        <w:rPr>
          <w:rFonts w:ascii="Source Sans Pro" w:hAnsi="Source Sans Pro"/>
        </w:rPr>
        <w:t>inister that will be provided after the general election.</w:t>
      </w:r>
    </w:p>
    <w:p w14:paraId="36889EA3" w14:textId="0E610292" w:rsidR="00CF0BBE" w:rsidRPr="003A111B" w:rsidRDefault="00CF0BBE">
      <w:pPr>
        <w:rPr>
          <w:rFonts w:ascii="Source Sans Pro" w:hAnsi="Source Sans Pro"/>
        </w:rPr>
      </w:pPr>
    </w:p>
    <w:sectPr w:rsidR="00CF0BBE" w:rsidRPr="003A111B" w:rsidSect="00435EBA">
      <w:footerReference w:type="default" r:id="rId12"/>
      <w:headerReference w:type="first" r:id="rId13"/>
      <w:footerReference w:type="first" r:id="rId14"/>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9F605" w14:textId="77777777" w:rsidR="00361FB8" w:rsidRPr="005047B0" w:rsidRDefault="00361FB8" w:rsidP="007D3FEB">
      <w:pPr>
        <w:spacing w:after="0" w:line="240" w:lineRule="auto"/>
      </w:pPr>
      <w:r w:rsidRPr="005047B0">
        <w:separator/>
      </w:r>
    </w:p>
  </w:endnote>
  <w:endnote w:type="continuationSeparator" w:id="0">
    <w:p w14:paraId="4909F089" w14:textId="77777777" w:rsidR="00361FB8" w:rsidRPr="005047B0" w:rsidRDefault="00361FB8" w:rsidP="007D3FEB">
      <w:pPr>
        <w:spacing w:after="0" w:line="240" w:lineRule="auto"/>
      </w:pPr>
      <w:r w:rsidRPr="005047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1462276"/>
      <w:docPartObj>
        <w:docPartGallery w:val="Page Numbers (Bottom of Page)"/>
        <w:docPartUnique/>
      </w:docPartObj>
    </w:sdtPr>
    <w:sdtEndPr/>
    <w:sdtContent>
      <w:p w14:paraId="3799E5FC" w14:textId="0A1EC33A" w:rsidR="00435EBA" w:rsidRPr="005047B0" w:rsidRDefault="00435EBA">
        <w:pPr>
          <w:pStyle w:val="Footer"/>
          <w:jc w:val="right"/>
        </w:pPr>
        <w:r w:rsidRPr="005047B0">
          <w:fldChar w:fldCharType="begin"/>
        </w:r>
        <w:r w:rsidRPr="005047B0">
          <w:instrText xml:space="preserve"> PAGE   \* MERGEFORMAT </w:instrText>
        </w:r>
        <w:r w:rsidRPr="005047B0">
          <w:fldChar w:fldCharType="separate"/>
        </w:r>
        <w:r w:rsidRPr="005047B0">
          <w:t>2</w:t>
        </w:r>
        <w:r w:rsidRPr="005047B0">
          <w:fldChar w:fldCharType="end"/>
        </w:r>
      </w:p>
    </w:sdtContent>
  </w:sdt>
  <w:p w14:paraId="55E35227" w14:textId="77777777" w:rsidR="00435EBA" w:rsidRPr="005047B0" w:rsidRDefault="00435E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ource Sans Pro" w:hAnsi="Source Sans Pro"/>
      </w:rPr>
      <w:id w:val="-114373380"/>
      <w:docPartObj>
        <w:docPartGallery w:val="Page Numbers (Bottom of Page)"/>
        <w:docPartUnique/>
      </w:docPartObj>
    </w:sdtPr>
    <w:sdtEndPr/>
    <w:sdtContent>
      <w:p w14:paraId="782759C9" w14:textId="5E9E5E62" w:rsidR="00435EBA" w:rsidRPr="005047B0" w:rsidRDefault="00435EBA">
        <w:pPr>
          <w:pStyle w:val="Footer"/>
          <w:jc w:val="right"/>
          <w:rPr>
            <w:rFonts w:ascii="Source Sans Pro" w:hAnsi="Source Sans Pro"/>
          </w:rPr>
        </w:pPr>
        <w:r w:rsidRPr="005047B0">
          <w:rPr>
            <w:rFonts w:ascii="Source Sans Pro" w:hAnsi="Source Sans Pro"/>
          </w:rPr>
          <w:fldChar w:fldCharType="begin"/>
        </w:r>
        <w:r w:rsidRPr="005047B0">
          <w:rPr>
            <w:rFonts w:ascii="Source Sans Pro" w:hAnsi="Source Sans Pro"/>
          </w:rPr>
          <w:instrText xml:space="preserve"> PAGE   \* MERGEFORMAT </w:instrText>
        </w:r>
        <w:r w:rsidRPr="005047B0">
          <w:rPr>
            <w:rFonts w:ascii="Source Sans Pro" w:hAnsi="Source Sans Pro"/>
          </w:rPr>
          <w:fldChar w:fldCharType="separate"/>
        </w:r>
        <w:r w:rsidRPr="005047B0">
          <w:rPr>
            <w:rFonts w:ascii="Source Sans Pro" w:hAnsi="Source Sans Pro"/>
          </w:rPr>
          <w:t>2</w:t>
        </w:r>
        <w:r w:rsidRPr="005047B0">
          <w:rPr>
            <w:rFonts w:ascii="Source Sans Pro" w:hAnsi="Source Sans Pro"/>
          </w:rPr>
          <w:fldChar w:fldCharType="end"/>
        </w:r>
      </w:p>
    </w:sdtContent>
  </w:sdt>
  <w:p w14:paraId="276A6463" w14:textId="77777777" w:rsidR="00435EBA" w:rsidRPr="005047B0" w:rsidRDefault="00435EBA">
    <w:pPr>
      <w:pStyle w:val="Footer"/>
      <w:rPr>
        <w:rFonts w:ascii="Source Sans Pro" w:hAnsi="Source Sans P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2EC4C" w14:textId="77777777" w:rsidR="00361FB8" w:rsidRPr="005047B0" w:rsidRDefault="00361FB8" w:rsidP="007D3FEB">
      <w:pPr>
        <w:spacing w:after="0" w:line="240" w:lineRule="auto"/>
      </w:pPr>
      <w:r w:rsidRPr="005047B0">
        <w:separator/>
      </w:r>
    </w:p>
  </w:footnote>
  <w:footnote w:type="continuationSeparator" w:id="0">
    <w:p w14:paraId="08E32940" w14:textId="77777777" w:rsidR="00361FB8" w:rsidRPr="005047B0" w:rsidRDefault="00361FB8" w:rsidP="007D3FEB">
      <w:pPr>
        <w:spacing w:after="0" w:line="240" w:lineRule="auto"/>
      </w:pPr>
      <w:r w:rsidRPr="005047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17D45" w14:textId="73F258AB" w:rsidR="007D3FEB" w:rsidRPr="005047B0" w:rsidRDefault="00C86621">
    <w:pPr>
      <w:pStyle w:val="Header"/>
    </w:pPr>
    <w:r w:rsidRPr="005047B0">
      <w:drawing>
        <wp:anchor distT="0" distB="0" distL="114300" distR="114300" simplePos="0" relativeHeight="251658240" behindDoc="0" locked="0" layoutInCell="1" allowOverlap="1" wp14:anchorId="25CAE42C" wp14:editId="6AF9635D">
          <wp:simplePos x="0" y="0"/>
          <wp:positionH relativeFrom="column">
            <wp:posOffset>-601980</wp:posOffset>
          </wp:positionH>
          <wp:positionV relativeFrom="paragraph">
            <wp:posOffset>-138927</wp:posOffset>
          </wp:positionV>
          <wp:extent cx="3140710" cy="1383665"/>
          <wp:effectExtent l="0" t="0" r="0" b="0"/>
          <wp:wrapTopAndBottom/>
          <wp:docPr id="14119011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0710" cy="13836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92105101">
    <w:abstractNumId w:val="8"/>
  </w:num>
  <w:num w:numId="2" w16cid:durableId="1815246463">
    <w:abstractNumId w:val="6"/>
  </w:num>
  <w:num w:numId="3" w16cid:durableId="1821799321">
    <w:abstractNumId w:val="5"/>
  </w:num>
  <w:num w:numId="4" w16cid:durableId="773131923">
    <w:abstractNumId w:val="4"/>
  </w:num>
  <w:num w:numId="5" w16cid:durableId="2102406410">
    <w:abstractNumId w:val="7"/>
  </w:num>
  <w:num w:numId="6" w16cid:durableId="999239445">
    <w:abstractNumId w:val="3"/>
  </w:num>
  <w:num w:numId="7" w16cid:durableId="398747135">
    <w:abstractNumId w:val="2"/>
  </w:num>
  <w:num w:numId="8" w16cid:durableId="1171411778">
    <w:abstractNumId w:val="1"/>
  </w:num>
  <w:num w:numId="9" w16cid:durableId="2125228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4B6C"/>
    <w:rsid w:val="00081036"/>
    <w:rsid w:val="000A123D"/>
    <w:rsid w:val="000A5193"/>
    <w:rsid w:val="000F7F33"/>
    <w:rsid w:val="00120778"/>
    <w:rsid w:val="0015074B"/>
    <w:rsid w:val="00160550"/>
    <w:rsid w:val="001E2EF6"/>
    <w:rsid w:val="001F1C38"/>
    <w:rsid w:val="001F331E"/>
    <w:rsid w:val="00217325"/>
    <w:rsid w:val="00231D92"/>
    <w:rsid w:val="0029639D"/>
    <w:rsid w:val="002C6087"/>
    <w:rsid w:val="002D0994"/>
    <w:rsid w:val="00326F90"/>
    <w:rsid w:val="00361FB8"/>
    <w:rsid w:val="0037497C"/>
    <w:rsid w:val="003A111B"/>
    <w:rsid w:val="004269E1"/>
    <w:rsid w:val="00435EBA"/>
    <w:rsid w:val="00461AC2"/>
    <w:rsid w:val="00473C62"/>
    <w:rsid w:val="00490170"/>
    <w:rsid w:val="004C65C7"/>
    <w:rsid w:val="004E15E3"/>
    <w:rsid w:val="005047B0"/>
    <w:rsid w:val="00525567"/>
    <w:rsid w:val="0056773F"/>
    <w:rsid w:val="005A0AD5"/>
    <w:rsid w:val="005B2C26"/>
    <w:rsid w:val="005D72AD"/>
    <w:rsid w:val="00655C4A"/>
    <w:rsid w:val="00661735"/>
    <w:rsid w:val="006A0E1E"/>
    <w:rsid w:val="00704D6E"/>
    <w:rsid w:val="007A4E76"/>
    <w:rsid w:val="007C5EF0"/>
    <w:rsid w:val="007D3FEB"/>
    <w:rsid w:val="008003F4"/>
    <w:rsid w:val="00804A31"/>
    <w:rsid w:val="00812883"/>
    <w:rsid w:val="00813316"/>
    <w:rsid w:val="00836854"/>
    <w:rsid w:val="00855C9A"/>
    <w:rsid w:val="00891223"/>
    <w:rsid w:val="008C30A9"/>
    <w:rsid w:val="00925A79"/>
    <w:rsid w:val="00945655"/>
    <w:rsid w:val="009477E0"/>
    <w:rsid w:val="00967FFC"/>
    <w:rsid w:val="0099045A"/>
    <w:rsid w:val="009A1FDD"/>
    <w:rsid w:val="009A418C"/>
    <w:rsid w:val="00A434D2"/>
    <w:rsid w:val="00A83E4F"/>
    <w:rsid w:val="00A93949"/>
    <w:rsid w:val="00AA1D8D"/>
    <w:rsid w:val="00AD55DA"/>
    <w:rsid w:val="00B409DB"/>
    <w:rsid w:val="00B47730"/>
    <w:rsid w:val="00BB6B9F"/>
    <w:rsid w:val="00C04A7D"/>
    <w:rsid w:val="00C67165"/>
    <w:rsid w:val="00C86621"/>
    <w:rsid w:val="00CA722E"/>
    <w:rsid w:val="00CB0664"/>
    <w:rsid w:val="00CB2348"/>
    <w:rsid w:val="00CE3B34"/>
    <w:rsid w:val="00CF0BBE"/>
    <w:rsid w:val="00CF577F"/>
    <w:rsid w:val="00D341DC"/>
    <w:rsid w:val="00D369BE"/>
    <w:rsid w:val="00DA3480"/>
    <w:rsid w:val="00E23A11"/>
    <w:rsid w:val="00E8427D"/>
    <w:rsid w:val="00F3305D"/>
    <w:rsid w:val="00F461E0"/>
    <w:rsid w:val="00F60EE6"/>
    <w:rsid w:val="00F86DEB"/>
    <w:rsid w:val="00F90CAF"/>
    <w:rsid w:val="00FC693F"/>
    <w:rsid w:val="00FD2BF1"/>
    <w:rsid w:val="00FF02A4"/>
    <w:rsid w:val="3D80E757"/>
    <w:rsid w:val="46D7E97F"/>
    <w:rsid w:val="53666FF2"/>
    <w:rsid w:val="6436EDEA"/>
    <w:rsid w:val="7D9938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062061"/>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en-NZ"/>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h74be024764340d3b7f89a8fa3f4dfe5 xmlns="e0a67773-b602-44e2-9df0-6b1cc69b2bfd">
      <Terms xmlns="http://schemas.microsoft.com/office/infopath/2007/PartnerControls"/>
    </h74be024764340d3b7f89a8fa3f4dfe5>
    <_dlc_DocId xmlns="063a132e-7922-4f1a-9ebb-16b3e240ff44">TKMIES-1962100866-9934</_dlc_DocId>
    <_dlc_DocIdUrl xmlns="063a132e-7922-4f1a-9ebb-16b3e240ff44">
      <Url>https://sscnz.sharepoint.com/sites/IES-SP/_layouts/15/DocIdRedir.aspx?ID=TKMIES-1962100866-9934</Url>
      <Description>TKMIES-1962100866-9934</Description>
    </_dlc_DocIdUrl>
    <lcf76f155ced4ddcb4097134ff3c332f xmlns="e0a67773-b602-44e2-9df0-6b1cc69b2bfd">
      <Terms xmlns="http://schemas.microsoft.com/office/infopath/2007/PartnerControls"/>
    </lcf76f155ced4ddcb4097134ff3c332f>
    <TaxCatchAll xmlns="063a132e-7922-4f1a-9ebb-16b3e240ff4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1C7F10602F9242B907F172BE191C25" ma:contentTypeVersion="17" ma:contentTypeDescription="Create a new document." ma:contentTypeScope="" ma:versionID="36ed9cd0c73d65d5527248a30c6a012d">
  <xsd:schema xmlns:xsd="http://www.w3.org/2001/XMLSchema" xmlns:xs="http://www.w3.org/2001/XMLSchema" xmlns:p="http://schemas.microsoft.com/office/2006/metadata/properties" xmlns:ns2="063a132e-7922-4f1a-9ebb-16b3e240ff44" xmlns:ns3="e0a67773-b602-44e2-9df0-6b1cc69b2bfd" targetNamespace="http://schemas.microsoft.com/office/2006/metadata/properties" ma:root="true" ma:fieldsID="5ded664f3fb5662e1f890edd84ab8bad" ns2:_="" ns3:_="">
    <xsd:import namespace="063a132e-7922-4f1a-9ebb-16b3e240ff44"/>
    <xsd:import namespace="e0a67773-b602-44e2-9df0-6b1cc69b2bfd"/>
    <xsd:element name="properties">
      <xsd:complexType>
        <xsd:sequence>
          <xsd:element name="documentManagement">
            <xsd:complexType>
              <xsd:all>
                <xsd:element ref="ns2:_dlc_DocId" minOccurs="0"/>
                <xsd:element ref="ns2:_dlc_DocIdUrl" minOccurs="0"/>
                <xsd:element ref="ns2:_dlc_DocIdPersistId" minOccurs="0"/>
                <xsd:element ref="ns3:h74be024764340d3b7f89a8fa3f4dfe5" minOccurs="0"/>
                <xsd:element ref="ns2:TaxCatchAll"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a132e-7922-4f1a-9ebb-16b3e240ff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description="" ma:hidden="true" ma:list="{642296d5-8b05-4dab-8fde-c1b189e56efa}" ma:internalName="TaxCatchAll" ma:showField="CatchAllData" ma:web="063a132e-7922-4f1a-9ebb-16b3e240ff4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a67773-b602-44e2-9df0-6b1cc69b2bfd" elementFormDefault="qualified">
    <xsd:import namespace="http://schemas.microsoft.com/office/2006/documentManagement/types"/>
    <xsd:import namespace="http://schemas.microsoft.com/office/infopath/2007/PartnerControls"/>
    <xsd:element name="h74be024764340d3b7f89a8fa3f4dfe5" ma:index="12" nillable="true" ma:taxonomy="true" ma:internalName="h74be024764340d3b7f89a8fa3f4dfe5" ma:taxonomyFieldName="Sub_x002d_heading" ma:displayName="Sub-heading" ma:default="" ma:fieldId="{174be024-7643-40d3-b7f8-9a8fa3f4dfe5}" ma:sspId="138d99aa-dc1b-4568-bbf8-76f48c855b0a" ma:termSetId="7c9da0c7-3cf7-43b5-aaf1-5d3555605848" ma:anchorId="00000000-0000-0000-0000-000000000000" ma:open="fals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38d99aa-dc1b-4568-bbf8-76f48c855b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6" nillable="true" ma:displayName="Loca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5B86E254-D69D-46D0-804E-37A9EB09EA50}">
  <ds:schemaRefs>
    <ds:schemaRef ds:uri="http://schemas.microsoft.com/office/2006/metadata/properties"/>
    <ds:schemaRef ds:uri="http://schemas.microsoft.com/office/infopath/2007/PartnerControls"/>
    <ds:schemaRef ds:uri="e0a67773-b602-44e2-9df0-6b1cc69b2bfd"/>
    <ds:schemaRef ds:uri="063a132e-7922-4f1a-9ebb-16b3e240ff44"/>
  </ds:schemaRefs>
</ds:datastoreItem>
</file>

<file path=customXml/itemProps3.xml><?xml version="1.0" encoding="utf-8"?>
<ds:datastoreItem xmlns:ds="http://schemas.openxmlformats.org/officeDocument/2006/customXml" ds:itemID="{1400035E-9325-4776-A938-F9B0024A01CC}">
  <ds:schemaRefs>
    <ds:schemaRef ds:uri="http://schemas.microsoft.com/sharepoint/v3/contenttype/forms"/>
  </ds:schemaRefs>
</ds:datastoreItem>
</file>

<file path=customXml/itemProps4.xml><?xml version="1.0" encoding="utf-8"?>
<ds:datastoreItem xmlns:ds="http://schemas.openxmlformats.org/officeDocument/2006/customXml" ds:itemID="{2062E4CD-9A3B-4B5E-909C-E2D876926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3a132e-7922-4f1a-9ebb-16b3e240ff44"/>
    <ds:schemaRef ds:uri="e0a67773-b602-44e2-9df0-6b1cc69b2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8885F1-3652-4300-9CC5-CC9AA5E778FA}">
  <ds:schemaRefs>
    <ds:schemaRef ds:uri="http://schemas.microsoft.com/sharepoint/events"/>
  </ds:schemaRefs>
</ds:datastoreItem>
</file>

<file path=docMetadata/LabelInfo.xml><?xml version="1.0" encoding="utf-8"?>
<clbl:labelList xmlns:clbl="http://schemas.microsoft.com/office/2020/mipLabelMetadata">
  <clbl:label id="{41e14a91-587d-4fbf-8dea-d6aea7148019}" enabled="0" method="" siteId="{41e14a91-587d-4fbf-8dea-d6aea7148019}"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828</Words>
  <Characters>4722</Characters>
  <Application>Microsoft Office Word</Application>
  <DocSecurity>4</DocSecurity>
  <Lines>39</Lines>
  <Paragraphs>11</Paragraphs>
  <ScaleCrop>false</ScaleCrop>
  <Manager/>
  <Company/>
  <LinksUpToDate>false</LinksUpToDate>
  <CharactersWithSpaces>5539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2026-07-09T20:19:00Z</dcterms:created>
  <dcterms:modified xsi:type="dcterms:W3CDTF">2026-07-09T01:21:00Z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0x010100F21C7F10602F9242B907F172BE191C25</vt:lpwstr>
  </property>
  <property fmtid="{D5CDD505-2E9C-101B-9397-08002B2CF9AE}" pid="4" name="Sub_x002d_heading">
    <vt:lpwstr/>
  </property>
  <property fmtid="{D5CDD505-2E9C-101B-9397-08002B2CF9AE}" pid="5" name="_dlc_DocIdItemGuid">
    <vt:lpwstr>14df7a82-3c8b-4655-8213-8d124dfccb88</vt:lpwstr>
  </property>
  <property fmtid="{D5CDD505-2E9C-101B-9397-08002B2CF9AE}" pid="6" name="Sub-heading">
    <vt:lpwstr/>
  </property>
</Properties>
</file>