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A28B" w14:textId="3788131A" w:rsidR="002F21F5" w:rsidRPr="0004166C" w:rsidRDefault="00374237">
      <w:pPr>
        <w:rPr>
          <w:b/>
          <w:bCs/>
        </w:rPr>
      </w:pPr>
      <w:r w:rsidRPr="0004166C">
        <w:rPr>
          <w:b/>
          <w:bCs/>
        </w:rPr>
        <w:t>PSC’s r</w:t>
      </w:r>
      <w:r w:rsidR="00FA0676" w:rsidRPr="0004166C">
        <w:rPr>
          <w:b/>
          <w:bCs/>
        </w:rPr>
        <w:t xml:space="preserve">easoned response to potential OGP commitment ideas </w:t>
      </w:r>
    </w:p>
    <w:tbl>
      <w:tblPr>
        <w:tblStyle w:val="TableGridLight"/>
        <w:tblpPr w:leftFromText="180" w:rightFromText="180"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5240"/>
        <w:gridCol w:w="4536"/>
        <w:gridCol w:w="4172"/>
      </w:tblGrid>
      <w:tr w:rsidR="008659A7" w14:paraId="3FE7999B" w14:textId="77777777" w:rsidTr="008E1A9F">
        <w:tc>
          <w:tcPr>
            <w:tcW w:w="5240" w:type="dxa"/>
          </w:tcPr>
          <w:p w14:paraId="32DB0B33" w14:textId="1969866F" w:rsidR="008659A7" w:rsidRPr="005B661F" w:rsidRDefault="00753D11" w:rsidP="008E1A9F">
            <w:pPr>
              <w:rPr>
                <w:b/>
                <w:bCs/>
              </w:rPr>
            </w:pPr>
            <w:r w:rsidRPr="005B661F">
              <w:rPr>
                <w:b/>
                <w:bCs/>
              </w:rPr>
              <w:t>Potential commitment area</w:t>
            </w:r>
          </w:p>
        </w:tc>
        <w:tc>
          <w:tcPr>
            <w:tcW w:w="4536" w:type="dxa"/>
          </w:tcPr>
          <w:p w14:paraId="1849677D" w14:textId="795E4125" w:rsidR="008659A7" w:rsidRPr="005B661F" w:rsidRDefault="008659A7" w:rsidP="008E1A9F">
            <w:pPr>
              <w:rPr>
                <w:b/>
                <w:bCs/>
              </w:rPr>
            </w:pPr>
            <w:r w:rsidRPr="005B661F">
              <w:rPr>
                <w:b/>
                <w:bCs/>
              </w:rPr>
              <w:t>Reason for not progressing as an OGP commitment</w:t>
            </w:r>
          </w:p>
        </w:tc>
        <w:tc>
          <w:tcPr>
            <w:tcW w:w="4172" w:type="dxa"/>
          </w:tcPr>
          <w:p w14:paraId="5313F695" w14:textId="2E420CB4" w:rsidR="008659A7" w:rsidRPr="005B661F" w:rsidRDefault="008659A7" w:rsidP="008E1A9F">
            <w:pPr>
              <w:rPr>
                <w:b/>
                <w:bCs/>
              </w:rPr>
            </w:pPr>
            <w:r w:rsidRPr="005B661F">
              <w:rPr>
                <w:b/>
                <w:bCs/>
              </w:rPr>
              <w:t>Related workstreams</w:t>
            </w:r>
          </w:p>
        </w:tc>
      </w:tr>
      <w:tr w:rsidR="00F56500" w14:paraId="67077952" w14:textId="77777777" w:rsidTr="008E1A9F">
        <w:tc>
          <w:tcPr>
            <w:tcW w:w="5240" w:type="dxa"/>
          </w:tcPr>
          <w:p w14:paraId="52D54901" w14:textId="6D0630B4" w:rsidR="00F56500" w:rsidRPr="005B661F" w:rsidRDefault="00F56500" w:rsidP="008E1A9F">
            <w:pPr>
              <w:spacing w:line="288" w:lineRule="auto"/>
            </w:pPr>
            <w:r w:rsidRPr="00A2170C">
              <w:rPr>
                <w:b/>
                <w:bCs/>
              </w:rPr>
              <w:t>Improv</w:t>
            </w:r>
            <w:r w:rsidR="00A2170C">
              <w:rPr>
                <w:b/>
                <w:bCs/>
              </w:rPr>
              <w:t>e</w:t>
            </w:r>
            <w:r w:rsidRPr="00A2170C">
              <w:rPr>
                <w:b/>
                <w:bCs/>
              </w:rPr>
              <w:t xml:space="preserve"> complaint handling across government</w:t>
            </w:r>
            <w:r w:rsidRPr="005B661F">
              <w:t>.</w:t>
            </w:r>
            <w:r w:rsidR="00A24E73">
              <w:t xml:space="preserve"> </w:t>
            </w:r>
            <w:r w:rsidRPr="005B661F">
              <w:t xml:space="preserve">Potential commitments include: </w:t>
            </w:r>
          </w:p>
          <w:p w14:paraId="2E3BDCD8" w14:textId="240EC3EE" w:rsidR="00F56500" w:rsidRPr="005B661F" w:rsidRDefault="00800177" w:rsidP="008E1A9F">
            <w:pPr>
              <w:pStyle w:val="ListParagraph"/>
              <w:numPr>
                <w:ilvl w:val="0"/>
                <w:numId w:val="10"/>
              </w:numPr>
              <w:spacing w:line="288" w:lineRule="auto"/>
            </w:pPr>
            <w:r w:rsidRPr="005B661F">
              <w:t>S</w:t>
            </w:r>
            <w:r w:rsidR="00F56500" w:rsidRPr="005B661F">
              <w:t>tandardise complaints processes and data collection</w:t>
            </w:r>
            <w:r w:rsidR="007756ED">
              <w:t>.</w:t>
            </w:r>
          </w:p>
          <w:p w14:paraId="0319600F" w14:textId="657F5933" w:rsidR="00F56500" w:rsidRPr="005B661F" w:rsidRDefault="00F56500" w:rsidP="008E1A9F">
            <w:pPr>
              <w:pStyle w:val="ListParagraph"/>
              <w:numPr>
                <w:ilvl w:val="0"/>
                <w:numId w:val="10"/>
              </w:numPr>
              <w:spacing w:line="288" w:lineRule="auto"/>
            </w:pPr>
            <w:r w:rsidRPr="005B661F">
              <w:t>Investigate the barriers to agencies sharing information about complaints</w:t>
            </w:r>
            <w:r w:rsidR="007756ED">
              <w:t>.</w:t>
            </w:r>
          </w:p>
          <w:p w14:paraId="0450613B" w14:textId="07BD780E" w:rsidR="00F56500" w:rsidRPr="005B661F" w:rsidRDefault="00F56500" w:rsidP="008E1A9F">
            <w:pPr>
              <w:pStyle w:val="ListParagraph"/>
              <w:numPr>
                <w:ilvl w:val="0"/>
                <w:numId w:val="10"/>
              </w:numPr>
              <w:spacing w:line="288" w:lineRule="auto"/>
            </w:pPr>
            <w:r w:rsidRPr="005B661F">
              <w:t>Share examples of good complaint handling processes, through a community of practice</w:t>
            </w:r>
            <w:r w:rsidR="00C1318E">
              <w:t>.</w:t>
            </w:r>
          </w:p>
          <w:p w14:paraId="32FCA33B" w14:textId="7F86C44F" w:rsidR="00F56500" w:rsidRPr="005B661F" w:rsidRDefault="00F56500" w:rsidP="008E1A9F"/>
        </w:tc>
        <w:tc>
          <w:tcPr>
            <w:tcW w:w="4536" w:type="dxa"/>
          </w:tcPr>
          <w:p w14:paraId="62050967" w14:textId="44CBD8CA" w:rsidR="00F56500" w:rsidRPr="005B661F" w:rsidRDefault="00F56500" w:rsidP="008E1A9F">
            <w:r w:rsidRPr="005B661F">
              <w:t>Significant work has recently been complete</w:t>
            </w:r>
            <w:r w:rsidR="00A04008" w:rsidRPr="005B661F">
              <w:t>d</w:t>
            </w:r>
            <w:r w:rsidRPr="005B661F">
              <w:t xml:space="preserve"> on complaint management</w:t>
            </w:r>
            <w:r w:rsidR="00A04008" w:rsidRPr="005B661F">
              <w:t xml:space="preserve"> and additional </w:t>
            </w:r>
            <w:r w:rsidR="007756ED">
              <w:t xml:space="preserve">related </w:t>
            </w:r>
            <w:r w:rsidR="00A04008" w:rsidRPr="005B661F">
              <w:t xml:space="preserve">work is underway. </w:t>
            </w:r>
          </w:p>
          <w:p w14:paraId="10193A1F" w14:textId="77777777" w:rsidR="00A04008" w:rsidRPr="005B661F" w:rsidRDefault="00A04008" w:rsidP="008E1A9F"/>
          <w:p w14:paraId="210ED2B2" w14:textId="58130B69" w:rsidR="00A04008" w:rsidRPr="005B661F" w:rsidRDefault="00F572BB" w:rsidP="008E1A9F">
            <w:r>
              <w:t>Standardising</w:t>
            </w:r>
            <w:r w:rsidR="00722C6E">
              <w:t xml:space="preserve"> all</w:t>
            </w:r>
            <w:r>
              <w:t xml:space="preserve"> complaints processes across government </w:t>
            </w:r>
            <w:r w:rsidR="00B8414C">
              <w:t>would likely require resourcing to achieve, given th</w:t>
            </w:r>
            <w:r w:rsidR="00722C6E">
              <w:t>e</w:t>
            </w:r>
            <w:r w:rsidR="00B8414C">
              <w:t xml:space="preserve"> number of agencies involve</w:t>
            </w:r>
            <w:r w:rsidR="00722C6E">
              <w:t xml:space="preserve">d and the range of different complaints received. </w:t>
            </w:r>
          </w:p>
        </w:tc>
        <w:tc>
          <w:tcPr>
            <w:tcW w:w="4172" w:type="dxa"/>
          </w:tcPr>
          <w:p w14:paraId="7B287743" w14:textId="698A247C" w:rsidR="00C1318E" w:rsidRDefault="00C1318E" w:rsidP="008E1A9F">
            <w:r>
              <w:t xml:space="preserve">One commitment </w:t>
            </w:r>
            <w:r w:rsidR="00E605DC">
              <w:t xml:space="preserve">proposed for </w:t>
            </w:r>
            <w:r>
              <w:t>inclu</w:t>
            </w:r>
            <w:r w:rsidR="00E605DC">
              <w:t>sion</w:t>
            </w:r>
            <w:r>
              <w:t xml:space="preserve"> in NAP5 is relevant: </w:t>
            </w:r>
          </w:p>
          <w:p w14:paraId="55BFD360" w14:textId="6FCE67A4" w:rsidR="00E605DC" w:rsidRPr="00E605DC" w:rsidRDefault="00E605DC" w:rsidP="008E1A9F">
            <w:pPr>
              <w:pStyle w:val="ListParagraph"/>
              <w:numPr>
                <w:ilvl w:val="0"/>
                <w:numId w:val="1"/>
              </w:numPr>
            </w:pPr>
            <w:r w:rsidRPr="00E605DC">
              <w:t>undertaking a p</w:t>
            </w:r>
            <w:r w:rsidR="00CE5C38">
              <w:t>ractice</w:t>
            </w:r>
            <w:r w:rsidRPr="00E605DC">
              <w:t xml:space="preserve"> review of the </w:t>
            </w:r>
            <w:r w:rsidR="00CE5C38">
              <w:t>protected disclosures system</w:t>
            </w:r>
            <w:r w:rsidRPr="00E605DC">
              <w:t>, publishing information on the consequences for retaliation, and scoping a community of practice for organisations receiving disclosures.</w:t>
            </w:r>
          </w:p>
          <w:p w14:paraId="7AE11254" w14:textId="77777777" w:rsidR="00C1318E" w:rsidRDefault="00C1318E" w:rsidP="008E1A9F"/>
          <w:p w14:paraId="7A39F925" w14:textId="44E8AA36" w:rsidR="00C1318E" w:rsidRDefault="0037325D" w:rsidP="008E1A9F">
            <w:r>
              <w:t>However,</w:t>
            </w:r>
            <w:r w:rsidR="00E605DC">
              <w:t xml:space="preserve"> this is limited in </w:t>
            </w:r>
            <w:r>
              <w:t xml:space="preserve">scope to </w:t>
            </w:r>
            <w:r w:rsidR="00A22AAF">
              <w:t>protected disclosures</w:t>
            </w:r>
            <w:r>
              <w:t>, not all complaints</w:t>
            </w:r>
            <w:r w:rsidR="007756ED">
              <w:t xml:space="preserve">. </w:t>
            </w:r>
          </w:p>
          <w:p w14:paraId="22A284D4" w14:textId="77777777" w:rsidR="0037325D" w:rsidRDefault="0037325D" w:rsidP="008E1A9F"/>
          <w:p w14:paraId="32B65C38" w14:textId="2D783D10" w:rsidR="00F56500" w:rsidRPr="005B661F" w:rsidRDefault="00E53CA8" w:rsidP="008E1A9F">
            <w:r w:rsidRPr="005B661F">
              <w:t xml:space="preserve">PSC </w:t>
            </w:r>
            <w:r w:rsidR="0037325D">
              <w:t xml:space="preserve">also </w:t>
            </w:r>
            <w:r w:rsidRPr="005B661F">
              <w:t>recently st</w:t>
            </w:r>
            <w:r w:rsidR="00F56500" w:rsidRPr="005B661F">
              <w:t>rengthen</w:t>
            </w:r>
            <w:r w:rsidRPr="005B661F">
              <w:t>ed</w:t>
            </w:r>
            <w:r w:rsidR="00F56500" w:rsidRPr="005B661F">
              <w:t xml:space="preserve"> the process for handling complaints from public servants who experience bullying, harassment or discrimination at work:</w:t>
            </w:r>
          </w:p>
          <w:p w14:paraId="18FCA444" w14:textId="77777777" w:rsidR="00F56500" w:rsidRPr="005B661F" w:rsidRDefault="00F56500" w:rsidP="008E1A9F">
            <w:pPr>
              <w:pStyle w:val="ListParagraph"/>
              <w:numPr>
                <w:ilvl w:val="0"/>
                <w:numId w:val="11"/>
              </w:numPr>
            </w:pPr>
            <w:r w:rsidRPr="005B661F">
              <w:t xml:space="preserve">The </w:t>
            </w:r>
            <w:hyperlink r:id="rId11" w:history="1">
              <w:r w:rsidRPr="005B661F">
                <w:rPr>
                  <w:rStyle w:val="Hyperlink"/>
                </w:rPr>
                <w:t>model standard on Speaking Up</w:t>
              </w:r>
            </w:hyperlink>
            <w:r w:rsidRPr="005B661F">
              <w:t xml:space="preserve"> was strengthened and reissued</w:t>
            </w:r>
          </w:p>
          <w:p w14:paraId="24932409" w14:textId="005AEFA7" w:rsidR="00F56500" w:rsidRPr="005B661F" w:rsidRDefault="00F56500" w:rsidP="008E1A9F">
            <w:pPr>
              <w:pStyle w:val="ListParagraph"/>
              <w:numPr>
                <w:ilvl w:val="0"/>
                <w:numId w:val="11"/>
              </w:numPr>
            </w:pPr>
            <w:hyperlink r:id="rId12" w:history="1">
              <w:r w:rsidRPr="005B661F">
                <w:rPr>
                  <w:rStyle w:val="Hyperlink"/>
                  <w:i/>
                  <w:iCs/>
                </w:rPr>
                <w:t>Your Complaint Your Rights</w:t>
              </w:r>
            </w:hyperlink>
            <w:r w:rsidRPr="005B661F">
              <w:t xml:space="preserve"> was published. This document </w:t>
            </w:r>
            <w:r w:rsidRPr="005B661F">
              <w:lastRenderedPageBreak/>
              <w:t>summaries a person’s rights so they are clear and easy to understand</w:t>
            </w:r>
          </w:p>
          <w:p w14:paraId="50B5BC59" w14:textId="6B0D98A4" w:rsidR="00F56500" w:rsidRPr="005B661F" w:rsidRDefault="00F56500" w:rsidP="008E1A9F"/>
        </w:tc>
      </w:tr>
      <w:tr w:rsidR="00F56500" w14:paraId="00066A9A" w14:textId="77777777" w:rsidTr="008E1A9F">
        <w:tc>
          <w:tcPr>
            <w:tcW w:w="5240" w:type="dxa"/>
          </w:tcPr>
          <w:p w14:paraId="1B9F9952" w14:textId="413DFBC7" w:rsidR="00F56500" w:rsidRPr="005B661F" w:rsidRDefault="008D16E6" w:rsidP="008E1A9F">
            <w:pPr>
              <w:spacing w:line="288" w:lineRule="auto"/>
            </w:pPr>
            <w:r>
              <w:rPr>
                <w:b/>
                <w:bCs/>
              </w:rPr>
              <w:lastRenderedPageBreak/>
              <w:t>P</w:t>
            </w:r>
            <w:r w:rsidR="00F56500" w:rsidRPr="0004166C">
              <w:rPr>
                <w:b/>
                <w:bCs/>
              </w:rPr>
              <w:t>romoting access to information</w:t>
            </w:r>
            <w:r w:rsidR="00F56500" w:rsidRPr="005B661F">
              <w:t xml:space="preserve">. Potential commitments include: </w:t>
            </w:r>
          </w:p>
          <w:p w14:paraId="73EED823" w14:textId="77777777" w:rsidR="00F56500" w:rsidRPr="005B661F" w:rsidRDefault="00F56500" w:rsidP="008E1A9F">
            <w:pPr>
              <w:pStyle w:val="ListParagraph"/>
              <w:numPr>
                <w:ilvl w:val="0"/>
                <w:numId w:val="10"/>
              </w:numPr>
              <w:spacing w:line="288" w:lineRule="auto"/>
            </w:pPr>
            <w:r w:rsidRPr="005B661F">
              <w:t>Introducing sanctions for OIA non-compliance</w:t>
            </w:r>
          </w:p>
          <w:p w14:paraId="64573601" w14:textId="5EBD26A2" w:rsidR="00F56500" w:rsidRPr="005B661F" w:rsidRDefault="00F56500" w:rsidP="008E1A9F">
            <w:pPr>
              <w:pStyle w:val="ListParagraph"/>
              <w:numPr>
                <w:ilvl w:val="0"/>
                <w:numId w:val="10"/>
              </w:numPr>
              <w:spacing w:line="288" w:lineRule="auto"/>
            </w:pPr>
            <w:r w:rsidRPr="005B661F">
              <w:t>Refresh proactive release guidance or enshrine proactive release in legislation.</w:t>
            </w:r>
          </w:p>
          <w:p w14:paraId="7C815A68" w14:textId="70075510" w:rsidR="00F56500" w:rsidRPr="005B661F" w:rsidRDefault="00F56500" w:rsidP="008E1A9F">
            <w:pPr>
              <w:pStyle w:val="ListParagraph"/>
              <w:numPr>
                <w:ilvl w:val="0"/>
                <w:numId w:val="10"/>
              </w:numPr>
              <w:spacing w:line="288" w:lineRule="auto"/>
            </w:pPr>
            <w:r w:rsidRPr="005B661F">
              <w:t>Create clearer boundaries around Ministerial influence over agency OIAs.</w:t>
            </w:r>
          </w:p>
          <w:p w14:paraId="55555DD5" w14:textId="24582245" w:rsidR="00F56500" w:rsidRPr="005B661F" w:rsidRDefault="00F56500" w:rsidP="008E1A9F">
            <w:pPr>
              <w:pStyle w:val="ListParagraph"/>
              <w:numPr>
                <w:ilvl w:val="0"/>
                <w:numId w:val="10"/>
              </w:numPr>
              <w:spacing w:line="288" w:lineRule="auto"/>
            </w:pPr>
            <w:r w:rsidRPr="005B661F">
              <w:t xml:space="preserve">Develop OIA officer role to ensure compliance. </w:t>
            </w:r>
          </w:p>
          <w:p w14:paraId="626CD093" w14:textId="49AFD203" w:rsidR="00F56500" w:rsidRDefault="00F56500" w:rsidP="008E1A9F">
            <w:pPr>
              <w:pStyle w:val="ListParagraph"/>
              <w:numPr>
                <w:ilvl w:val="0"/>
                <w:numId w:val="10"/>
              </w:numPr>
              <w:spacing w:line="288" w:lineRule="auto"/>
            </w:pPr>
            <w:r w:rsidRPr="005B661F">
              <w:t xml:space="preserve">Review how AI is being used to both make and respond to OIA requests. </w:t>
            </w:r>
          </w:p>
          <w:p w14:paraId="397EC5AC" w14:textId="77777777" w:rsidR="00F56500" w:rsidRDefault="00F56500" w:rsidP="008E1A9F">
            <w:pPr>
              <w:pStyle w:val="ListParagraph"/>
              <w:numPr>
                <w:ilvl w:val="0"/>
                <w:numId w:val="10"/>
              </w:numPr>
              <w:spacing w:line="288" w:lineRule="auto"/>
            </w:pPr>
            <w:r w:rsidRPr="005B661F">
              <w:t xml:space="preserve">Progress work to improve transparency of beneficial ownership and expand to include trusts. </w:t>
            </w:r>
          </w:p>
          <w:p w14:paraId="16F54F50" w14:textId="77777777" w:rsidR="00B04E32" w:rsidRDefault="00B0417C" w:rsidP="008E1A9F">
            <w:pPr>
              <w:pStyle w:val="ListParagraph"/>
              <w:numPr>
                <w:ilvl w:val="0"/>
                <w:numId w:val="10"/>
              </w:numPr>
              <w:spacing w:line="288" w:lineRule="auto"/>
            </w:pPr>
            <w:r>
              <w:t>Review the use of generic submissions inboxes for consultation</w:t>
            </w:r>
            <w:r w:rsidR="00B04E32">
              <w:t xml:space="preserve"> </w:t>
            </w:r>
            <w:r>
              <w:t xml:space="preserve">and provide an official’s contact details instead. </w:t>
            </w:r>
          </w:p>
          <w:p w14:paraId="24C63A93" w14:textId="43431202" w:rsidR="00C561AB" w:rsidRPr="005B661F" w:rsidRDefault="00C561AB" w:rsidP="008E1A9F">
            <w:pPr>
              <w:pStyle w:val="ListParagraph"/>
              <w:spacing w:line="288" w:lineRule="auto"/>
              <w:contextualSpacing w:val="0"/>
            </w:pPr>
          </w:p>
        </w:tc>
        <w:tc>
          <w:tcPr>
            <w:tcW w:w="4536" w:type="dxa"/>
          </w:tcPr>
          <w:p w14:paraId="518EB49C" w14:textId="77777777" w:rsidR="00F56500" w:rsidRPr="005B661F" w:rsidRDefault="00F56500" w:rsidP="008E1A9F">
            <w:r w:rsidRPr="005B661F">
              <w:t xml:space="preserve">Does not strongly align with focus areas of </w:t>
            </w:r>
            <w:r w:rsidRPr="005B661F">
              <w:rPr>
                <w:i/>
                <w:iCs/>
              </w:rPr>
              <w:t xml:space="preserve">Action Plan to strengthen integrity. </w:t>
            </w:r>
          </w:p>
          <w:p w14:paraId="0842145A" w14:textId="77777777" w:rsidR="00F56500" w:rsidRPr="005B661F" w:rsidRDefault="00F56500" w:rsidP="008E1A9F"/>
          <w:p w14:paraId="02348CDC" w14:textId="3EE235F1" w:rsidR="00F56500" w:rsidRPr="005B661F" w:rsidRDefault="00F56500" w:rsidP="008E1A9F">
            <w:r w:rsidRPr="005B661F">
              <w:t>Some commitments (like an OIA officer or sanctions for OIA non-compliance) would be likely to require additional resourcing.</w:t>
            </w:r>
          </w:p>
          <w:p w14:paraId="63C1CF93" w14:textId="703D3AAD" w:rsidR="00F56500" w:rsidRPr="005B661F" w:rsidRDefault="00F96637" w:rsidP="008E1A9F">
            <w:r>
              <w:t>A commitment on beneficial ownership would not align with Ministerial or agency priorities at this time</w:t>
            </w:r>
            <w:r w:rsidR="00F56500" w:rsidRPr="005B661F">
              <w:t xml:space="preserve">. </w:t>
            </w:r>
          </w:p>
        </w:tc>
        <w:tc>
          <w:tcPr>
            <w:tcW w:w="4172" w:type="dxa"/>
          </w:tcPr>
          <w:p w14:paraId="6247E53B" w14:textId="5FF1C16C" w:rsidR="000D4164" w:rsidRDefault="000D4164" w:rsidP="008E1A9F">
            <w:r>
              <w:t xml:space="preserve">NAP2, NAP3 and NAP4 have previously included OIA related commitments. </w:t>
            </w:r>
          </w:p>
          <w:p w14:paraId="43FBE684" w14:textId="77777777" w:rsidR="000D4164" w:rsidRDefault="000D4164" w:rsidP="008E1A9F"/>
          <w:p w14:paraId="41851FA4" w14:textId="2E34DC6B" w:rsidR="00F56500" w:rsidRPr="005B661F" w:rsidRDefault="00F56500" w:rsidP="008E1A9F">
            <w:r w:rsidRPr="005B661F">
              <w:t xml:space="preserve">Most recently NAP4 included a commitment to strengthen the scrutiny of OIA exemption clauses in legislation. The Ministry of Justice led this commitment, undertook consultation with stakeholders and </w:t>
            </w:r>
            <w:r w:rsidR="00FE1C00">
              <w:t>circulated</w:t>
            </w:r>
            <w:r w:rsidRPr="005B661F">
              <w:t xml:space="preserve"> </w:t>
            </w:r>
            <w:hyperlink r:id="rId13" w:history="1">
              <w:r w:rsidRPr="00FE1C00">
                <w:rPr>
                  <w:rStyle w:val="Hyperlink"/>
                </w:rPr>
                <w:t>guidance for agencies</w:t>
              </w:r>
            </w:hyperlink>
            <w:r w:rsidR="00017753">
              <w:t xml:space="preserve">. </w:t>
            </w:r>
            <w:r w:rsidRPr="005B661F">
              <w:t xml:space="preserve"> </w:t>
            </w:r>
          </w:p>
          <w:p w14:paraId="2AEFDF9A" w14:textId="77777777" w:rsidR="00F56500" w:rsidRPr="005B661F" w:rsidRDefault="00F56500" w:rsidP="008E1A9F"/>
          <w:p w14:paraId="1D4520C2" w14:textId="55A5962F" w:rsidR="00F56500" w:rsidRPr="005B661F" w:rsidRDefault="00F56500" w:rsidP="008E1A9F"/>
        </w:tc>
      </w:tr>
      <w:tr w:rsidR="008D16E6" w14:paraId="106180CC" w14:textId="77777777" w:rsidTr="008E1A9F">
        <w:tc>
          <w:tcPr>
            <w:tcW w:w="5240" w:type="dxa"/>
          </w:tcPr>
          <w:p w14:paraId="1052B62E" w14:textId="683C74C8" w:rsidR="008D16E6" w:rsidRDefault="008D16E6" w:rsidP="008E1A9F">
            <w:pPr>
              <w:spacing w:line="288" w:lineRule="auto"/>
              <w:rPr>
                <w:rFonts w:ascii="Source Sans Pro" w:hAnsi="Source Sans Pro"/>
              </w:rPr>
            </w:pPr>
            <w:r w:rsidRPr="00C561AB">
              <w:rPr>
                <w:b/>
                <w:bCs/>
              </w:rPr>
              <w:lastRenderedPageBreak/>
              <w:t>Protecting personal information.</w:t>
            </w:r>
            <w:r>
              <w:rPr>
                <w:rFonts w:ascii="Source Sans Pro" w:hAnsi="Source Sans Pro"/>
              </w:rPr>
              <w:t xml:space="preserve"> Potential commitments include: </w:t>
            </w:r>
          </w:p>
          <w:p w14:paraId="7C970553" w14:textId="77777777" w:rsidR="0057740F" w:rsidRPr="008E1A9F" w:rsidRDefault="008D16E6" w:rsidP="008E1A9F">
            <w:pPr>
              <w:pStyle w:val="ListParagraph"/>
              <w:numPr>
                <w:ilvl w:val="0"/>
                <w:numId w:val="10"/>
              </w:numPr>
              <w:spacing w:line="288" w:lineRule="auto"/>
            </w:pPr>
            <w:r w:rsidRPr="008E1A9F">
              <w:t>Investigate data sharing between agencies to ensure data captured is not being used for different purposes.</w:t>
            </w:r>
          </w:p>
          <w:p w14:paraId="2FC5BB34" w14:textId="77777777" w:rsidR="008D16E6" w:rsidRPr="008E1A9F" w:rsidRDefault="008D16E6" w:rsidP="008E1A9F">
            <w:pPr>
              <w:pStyle w:val="ListParagraph"/>
              <w:numPr>
                <w:ilvl w:val="0"/>
                <w:numId w:val="10"/>
              </w:numPr>
              <w:spacing w:line="288" w:lineRule="auto"/>
            </w:pPr>
            <w:r w:rsidRPr="008E1A9F">
              <w:t>Engage publicly to test public expectations around how their personal information is used or shared.</w:t>
            </w:r>
          </w:p>
          <w:p w14:paraId="1A872259" w14:textId="676A85AC" w:rsidR="00C561AB" w:rsidRPr="0004166C" w:rsidRDefault="00C561AB" w:rsidP="008E1A9F">
            <w:pPr>
              <w:pStyle w:val="ListParagraph"/>
              <w:spacing w:line="288" w:lineRule="auto"/>
              <w:ind w:left="360"/>
              <w:contextualSpacing w:val="0"/>
              <w:rPr>
                <w:b/>
                <w:bCs/>
              </w:rPr>
            </w:pPr>
          </w:p>
        </w:tc>
        <w:tc>
          <w:tcPr>
            <w:tcW w:w="4536" w:type="dxa"/>
          </w:tcPr>
          <w:p w14:paraId="6DAC503A" w14:textId="77777777" w:rsidR="0057740F" w:rsidRPr="005B661F" w:rsidRDefault="0057740F" w:rsidP="008E1A9F">
            <w:r w:rsidRPr="005B661F">
              <w:t xml:space="preserve">Does not strongly align with focus areas of </w:t>
            </w:r>
            <w:r w:rsidRPr="005B661F">
              <w:rPr>
                <w:i/>
                <w:iCs/>
              </w:rPr>
              <w:t xml:space="preserve">Action Plan to strengthen integrity. </w:t>
            </w:r>
          </w:p>
          <w:p w14:paraId="640B29D4" w14:textId="77777777" w:rsidR="008D16E6" w:rsidRDefault="008D16E6" w:rsidP="008E1A9F"/>
          <w:p w14:paraId="4D3D8261" w14:textId="77777777" w:rsidR="0057740F" w:rsidRPr="005B661F" w:rsidRDefault="0057740F" w:rsidP="008E1A9F"/>
        </w:tc>
        <w:tc>
          <w:tcPr>
            <w:tcW w:w="4172" w:type="dxa"/>
          </w:tcPr>
          <w:p w14:paraId="4BBF991B" w14:textId="2911F102" w:rsidR="008D16E6" w:rsidRDefault="000F7ED3" w:rsidP="008E1A9F">
            <w:r>
              <w:t xml:space="preserve">Earlier this year the GCDO published </w:t>
            </w:r>
            <w:r w:rsidR="00D2671D">
              <w:t>a standard</w:t>
            </w:r>
            <w:r>
              <w:t xml:space="preserve"> on </w:t>
            </w:r>
            <w:hyperlink r:id="rId14" w:history="1">
              <w:r w:rsidR="00D2671D" w:rsidRPr="00D2671D">
                <w:rPr>
                  <w:rStyle w:val="Hyperlink"/>
                </w:rPr>
                <w:t xml:space="preserve">sharing personal data with third parties. </w:t>
              </w:r>
            </w:hyperlink>
            <w:r>
              <w:t xml:space="preserve"> </w:t>
            </w:r>
          </w:p>
        </w:tc>
      </w:tr>
      <w:tr w:rsidR="00F56500" w14:paraId="6E12C030" w14:textId="77777777" w:rsidTr="008E1A9F">
        <w:tc>
          <w:tcPr>
            <w:tcW w:w="5240" w:type="dxa"/>
          </w:tcPr>
          <w:p w14:paraId="484F0A89" w14:textId="77777777" w:rsidR="00F56500" w:rsidRPr="005B661F" w:rsidRDefault="00F56500" w:rsidP="008E1A9F">
            <w:r w:rsidRPr="00A224AB">
              <w:rPr>
                <w:b/>
                <w:bCs/>
              </w:rPr>
              <w:t>Upholding political neutrality and improving conflict of interest management.</w:t>
            </w:r>
            <w:r w:rsidRPr="005B661F">
              <w:t xml:space="preserve"> Potential commitments include: </w:t>
            </w:r>
          </w:p>
          <w:p w14:paraId="5965D8B4" w14:textId="77777777" w:rsidR="00F56500" w:rsidRPr="005B661F" w:rsidRDefault="00F56500" w:rsidP="008E1A9F">
            <w:pPr>
              <w:pStyle w:val="ListParagraph"/>
              <w:numPr>
                <w:ilvl w:val="0"/>
                <w:numId w:val="10"/>
              </w:numPr>
              <w:spacing w:line="288" w:lineRule="auto"/>
            </w:pPr>
            <w:r w:rsidRPr="005B661F">
              <w:t>Review conflict of interest guidance and training.</w:t>
            </w:r>
          </w:p>
          <w:p w14:paraId="33374F47" w14:textId="77777777" w:rsidR="00F56500" w:rsidRPr="005B661F" w:rsidRDefault="00F56500" w:rsidP="008E1A9F">
            <w:pPr>
              <w:pStyle w:val="ListParagraph"/>
              <w:numPr>
                <w:ilvl w:val="0"/>
                <w:numId w:val="10"/>
              </w:numPr>
              <w:spacing w:line="288" w:lineRule="auto"/>
            </w:pPr>
            <w:r w:rsidRPr="005B661F">
              <w:t>Develop scenarios to support understanding of political neutrality.</w:t>
            </w:r>
          </w:p>
          <w:p w14:paraId="37A37BE2" w14:textId="1190013A" w:rsidR="00F56500" w:rsidRPr="005B661F" w:rsidRDefault="00F56500" w:rsidP="008E1A9F">
            <w:pPr>
              <w:pStyle w:val="ListParagraph"/>
              <w:numPr>
                <w:ilvl w:val="0"/>
                <w:numId w:val="10"/>
              </w:numPr>
              <w:spacing w:line="288" w:lineRule="auto"/>
            </w:pPr>
            <w:r w:rsidRPr="005B661F">
              <w:t>Promote integrity culture through leadership development.</w:t>
            </w:r>
          </w:p>
          <w:p w14:paraId="11344B4C" w14:textId="3F774ABB" w:rsidR="00F56500" w:rsidRPr="005B661F" w:rsidRDefault="00F56500" w:rsidP="008E1A9F">
            <w:pPr>
              <w:pStyle w:val="ListParagraph"/>
              <w:numPr>
                <w:ilvl w:val="0"/>
                <w:numId w:val="10"/>
              </w:numPr>
              <w:spacing w:line="288" w:lineRule="auto"/>
            </w:pPr>
            <w:r w:rsidRPr="005B661F">
              <w:t>Review political neutrality guidance to ensure it upholds public servant’s rights to freedom of speech and political opinion</w:t>
            </w:r>
            <w:r w:rsidR="00F62525">
              <w:t>.</w:t>
            </w:r>
          </w:p>
        </w:tc>
        <w:tc>
          <w:tcPr>
            <w:tcW w:w="4536" w:type="dxa"/>
          </w:tcPr>
          <w:p w14:paraId="400BAE61" w14:textId="2B5DA1A9" w:rsidR="00A533A4" w:rsidRPr="005B661F" w:rsidRDefault="00F56500" w:rsidP="008E1A9F">
            <w:r w:rsidRPr="005B661F">
              <w:t xml:space="preserve">Significant work </w:t>
            </w:r>
            <w:r w:rsidR="00C00DCC">
              <w:t>is already underway</w:t>
            </w:r>
            <w:r w:rsidR="00926933">
              <w:t xml:space="preserve"> (some completed) </w:t>
            </w:r>
            <w:r w:rsidRPr="005B661F">
              <w:t>on training and guidance for both conflicts of interest and political neutrality</w:t>
            </w:r>
            <w:r w:rsidR="000A630F">
              <w:t xml:space="preserve">, outside of OGP processes. </w:t>
            </w:r>
          </w:p>
          <w:p w14:paraId="19A8F5DD" w14:textId="77777777" w:rsidR="00F56500" w:rsidRPr="005B661F" w:rsidRDefault="00F56500" w:rsidP="008E1A9F"/>
          <w:p w14:paraId="1E3962AD" w14:textId="6FDC4B6D" w:rsidR="00F56500" w:rsidRPr="005B661F" w:rsidRDefault="00F56500" w:rsidP="008E1A9F"/>
        </w:tc>
        <w:tc>
          <w:tcPr>
            <w:tcW w:w="4172" w:type="dxa"/>
          </w:tcPr>
          <w:p w14:paraId="102AFF26" w14:textId="37D25C15" w:rsidR="0034511B" w:rsidRPr="0097239E" w:rsidRDefault="00C561AB" w:rsidP="008E1A9F">
            <w:r>
              <w:t xml:space="preserve">The proposed NAP5 commitment to undertake </w:t>
            </w:r>
            <w:r w:rsidR="0034511B">
              <w:t xml:space="preserve">exploratory </w:t>
            </w:r>
            <w:r w:rsidR="0034511B" w:rsidRPr="005B661F">
              <w:t xml:space="preserve">work on creating a central register of declared </w:t>
            </w:r>
            <w:r w:rsidR="0034511B" w:rsidRPr="0097239E">
              <w:t>conflicts of interest for senior public servants</w:t>
            </w:r>
            <w:r>
              <w:t xml:space="preserve"> is relevant to this theme.</w:t>
            </w:r>
          </w:p>
          <w:p w14:paraId="34B25BFA" w14:textId="77777777" w:rsidR="00A04E75" w:rsidRDefault="00A04E75" w:rsidP="008E1A9F"/>
          <w:p w14:paraId="3B9CC6EE" w14:textId="0E74DF97" w:rsidR="00F97E9F" w:rsidRDefault="00F97E9F" w:rsidP="008E1A9F">
            <w:r w:rsidRPr="005B661F">
              <w:t xml:space="preserve">Earlier this year the model standard on </w:t>
            </w:r>
            <w:hyperlink r:id="rId15" w:history="1">
              <w:r w:rsidRPr="005B661F">
                <w:rPr>
                  <w:rStyle w:val="Hyperlink"/>
                </w:rPr>
                <w:t>conflicts of interest</w:t>
              </w:r>
            </w:hyperlink>
            <w:r w:rsidRPr="005B661F">
              <w:t xml:space="preserve"> was updated and strengthened</w:t>
            </w:r>
            <w:r>
              <w:t>.</w:t>
            </w:r>
          </w:p>
          <w:p w14:paraId="73038342" w14:textId="77777777" w:rsidR="00F97E9F" w:rsidRDefault="00F97E9F" w:rsidP="008E1A9F"/>
          <w:p w14:paraId="5B6E7543" w14:textId="77777777" w:rsidR="00F97E9F" w:rsidRDefault="00F97E9F" w:rsidP="008E1A9F">
            <w:r w:rsidRPr="005B661F">
              <w:t xml:space="preserve">The Commission issued a </w:t>
            </w:r>
            <w:hyperlink r:id="rId16" w:history="1">
              <w:r w:rsidRPr="005B661F">
                <w:rPr>
                  <w:rStyle w:val="Hyperlink"/>
                </w:rPr>
                <w:t>one-page guide to conflict of interest conversations</w:t>
              </w:r>
            </w:hyperlink>
            <w:r w:rsidRPr="005B661F">
              <w:t xml:space="preserve"> and </w:t>
            </w:r>
            <w:hyperlink r:id="rId17" w:history="1">
              <w:r w:rsidRPr="005B661F">
                <w:rPr>
                  <w:rStyle w:val="Hyperlink"/>
                </w:rPr>
                <w:t>examples of conflict of interest management plans.</w:t>
              </w:r>
              <w:r w:rsidRPr="005B661F">
                <w:t xml:space="preserve"> </w:t>
              </w:r>
            </w:hyperlink>
          </w:p>
          <w:p w14:paraId="7607CE0C" w14:textId="686EF39F" w:rsidR="00A04E75" w:rsidRDefault="00A04E75" w:rsidP="008E1A9F"/>
          <w:p w14:paraId="7ADB8CEC" w14:textId="3786829E" w:rsidR="00F97E9F" w:rsidRDefault="00554D14" w:rsidP="008E1A9F">
            <w:r w:rsidRPr="00A533A4">
              <w:t xml:space="preserve">Steps have been taken to strengthen integrity expectations for senior </w:t>
            </w:r>
            <w:r w:rsidRPr="00A533A4">
              <w:lastRenderedPageBreak/>
              <w:t>leaders</w:t>
            </w:r>
            <w:r>
              <w:t xml:space="preserve">, through changes to performance expectations and the </w:t>
            </w:r>
            <w:hyperlink r:id="rId18" w:history="1">
              <w:r w:rsidRPr="00F83A46">
                <w:rPr>
                  <w:rStyle w:val="Hyperlink"/>
                </w:rPr>
                <w:t>Leadership Success Profile</w:t>
              </w:r>
            </w:hyperlink>
            <w:r>
              <w:t>.</w:t>
            </w:r>
          </w:p>
          <w:p w14:paraId="1F9B2751" w14:textId="77777777" w:rsidR="00554D14" w:rsidRDefault="00554D14" w:rsidP="008E1A9F"/>
          <w:p w14:paraId="0C7E33D2" w14:textId="37956F4C" w:rsidR="00F97E9F" w:rsidRDefault="00F97E9F" w:rsidP="008E1A9F">
            <w:r w:rsidRPr="005B661F">
              <w:t xml:space="preserve">PSC has included training on political neutrality as part of </w:t>
            </w:r>
            <w:hyperlink r:id="rId19" w:history="1">
              <w:r w:rsidRPr="005B661F">
                <w:rPr>
                  <w:rStyle w:val="Hyperlink"/>
                </w:rPr>
                <w:t>LDC’s core capability training.</w:t>
              </w:r>
            </w:hyperlink>
            <w:r w:rsidRPr="005B661F">
              <w:t xml:space="preserve"> </w:t>
            </w:r>
          </w:p>
          <w:p w14:paraId="009B5D70" w14:textId="77777777" w:rsidR="00DF2650" w:rsidRDefault="00DF2650" w:rsidP="008E1A9F"/>
          <w:p w14:paraId="5671BB94" w14:textId="3063E82B" w:rsidR="00DF2650" w:rsidRDefault="00DF2650" w:rsidP="008E1A9F">
            <w:r>
              <w:t>PSC will</w:t>
            </w:r>
            <w:r w:rsidR="00AF2288">
              <w:t xml:space="preserve"> re-</w:t>
            </w:r>
            <w:r>
              <w:t xml:space="preserve">issue </w:t>
            </w:r>
            <w:r w:rsidR="00AF2288">
              <w:t>the</w:t>
            </w:r>
            <w:r>
              <w:t xml:space="preserve"> Code of Conduct at the end of 2025 and roll out mandatory</w:t>
            </w:r>
            <w:r w:rsidR="00EF3423">
              <w:t xml:space="preserve"> baseline integrity</w:t>
            </w:r>
            <w:r>
              <w:t xml:space="preserve"> training in the New Year. This will include </w:t>
            </w:r>
            <w:r w:rsidR="00EF3423">
              <w:t xml:space="preserve">scenario-led training for specific risk areas, and </w:t>
            </w:r>
            <w:r w:rsidR="00DC57B5">
              <w:t>guidance around political neutrality and conflicts of interest.</w:t>
            </w:r>
          </w:p>
          <w:p w14:paraId="3B9C226A" w14:textId="77777777" w:rsidR="00736426" w:rsidRDefault="00736426" w:rsidP="008E1A9F"/>
          <w:p w14:paraId="26D8C063" w14:textId="6025B06E" w:rsidR="00736426" w:rsidRPr="005B661F" w:rsidRDefault="00020166" w:rsidP="008E1A9F">
            <w:r w:rsidRPr="00020166">
              <w:t>PSC will review the existing Election Guidance before the 2026 election, to ensure it remains fit for purpose. This includes guidance on maintaining political neutrality in an election year</w:t>
            </w:r>
            <w:r w:rsidR="001A4624">
              <w:t>.</w:t>
            </w:r>
            <w:r w:rsidRPr="00020166">
              <w:t> </w:t>
            </w:r>
          </w:p>
          <w:p w14:paraId="1A8B5398" w14:textId="069907EC" w:rsidR="00F56500" w:rsidRPr="005B661F" w:rsidRDefault="00F56500" w:rsidP="008E1A9F"/>
        </w:tc>
      </w:tr>
      <w:tr w:rsidR="00F56500" w14:paraId="33D5C017" w14:textId="77777777" w:rsidTr="008E1A9F">
        <w:tc>
          <w:tcPr>
            <w:tcW w:w="5240" w:type="dxa"/>
          </w:tcPr>
          <w:p w14:paraId="3E926746" w14:textId="7BD91D6C" w:rsidR="00F56500" w:rsidRPr="005B661F" w:rsidRDefault="00A224AB" w:rsidP="008E1A9F">
            <w:r>
              <w:rPr>
                <w:b/>
                <w:bCs/>
              </w:rPr>
              <w:lastRenderedPageBreak/>
              <w:t xml:space="preserve">Use of </w:t>
            </w:r>
            <w:r w:rsidR="00F56500" w:rsidRPr="00A224AB">
              <w:rPr>
                <w:b/>
                <w:bCs/>
              </w:rPr>
              <w:t>Artificial intelligence</w:t>
            </w:r>
            <w:r w:rsidR="00F56500" w:rsidRPr="005B661F">
              <w:t xml:space="preserve">. Potential commitments include: </w:t>
            </w:r>
          </w:p>
          <w:p w14:paraId="0ED24868" w14:textId="540BFDC9" w:rsidR="00F56500" w:rsidRPr="005B661F" w:rsidRDefault="00F56500" w:rsidP="008E1A9F">
            <w:pPr>
              <w:pStyle w:val="ListParagraph"/>
              <w:numPr>
                <w:ilvl w:val="0"/>
                <w:numId w:val="10"/>
              </w:numPr>
              <w:spacing w:line="288" w:lineRule="auto"/>
            </w:pPr>
            <w:r w:rsidRPr="005B661F">
              <w:t>Using AI to ensure consistency of decision making.</w:t>
            </w:r>
          </w:p>
          <w:p w14:paraId="6FA6D8F8" w14:textId="77777777" w:rsidR="00F56500" w:rsidRPr="005B661F" w:rsidRDefault="00F56500" w:rsidP="008E1A9F">
            <w:pPr>
              <w:pStyle w:val="ListParagraph"/>
              <w:numPr>
                <w:ilvl w:val="0"/>
                <w:numId w:val="10"/>
              </w:numPr>
              <w:spacing w:line="288" w:lineRule="auto"/>
            </w:pPr>
            <w:r w:rsidRPr="005B661F">
              <w:lastRenderedPageBreak/>
              <w:t xml:space="preserve">Expand MSD’s Automated Decision-Making Standard across the public sector. </w:t>
            </w:r>
          </w:p>
          <w:p w14:paraId="5A78DC34" w14:textId="77777777" w:rsidR="00F56500" w:rsidRPr="005B661F" w:rsidRDefault="00F56500" w:rsidP="008E1A9F">
            <w:pPr>
              <w:pStyle w:val="ListParagraph"/>
              <w:numPr>
                <w:ilvl w:val="0"/>
                <w:numId w:val="10"/>
              </w:numPr>
              <w:spacing w:line="288" w:lineRule="auto"/>
            </w:pPr>
            <w:r w:rsidRPr="005B661F">
              <w:t xml:space="preserve">Research how AI could be used in procurement. </w:t>
            </w:r>
          </w:p>
          <w:p w14:paraId="6063E6B3" w14:textId="565A1F8A" w:rsidR="00F56500" w:rsidRPr="005B661F" w:rsidRDefault="00F56500" w:rsidP="008E1A9F">
            <w:pPr>
              <w:pStyle w:val="ListParagraph"/>
            </w:pPr>
            <w:r w:rsidRPr="005B661F">
              <w:t xml:space="preserve"> </w:t>
            </w:r>
          </w:p>
        </w:tc>
        <w:tc>
          <w:tcPr>
            <w:tcW w:w="4536" w:type="dxa"/>
          </w:tcPr>
          <w:p w14:paraId="335223BE" w14:textId="77777777" w:rsidR="00F56500" w:rsidRPr="005B661F" w:rsidRDefault="00F56500" w:rsidP="008E1A9F">
            <w:r w:rsidRPr="005B661F">
              <w:lastRenderedPageBreak/>
              <w:t xml:space="preserve">Does not strongly align with focus areas of </w:t>
            </w:r>
            <w:r w:rsidRPr="005B661F">
              <w:rPr>
                <w:i/>
                <w:iCs/>
              </w:rPr>
              <w:t xml:space="preserve">Action Plan to strengthen integrity. </w:t>
            </w:r>
          </w:p>
          <w:p w14:paraId="54E50600" w14:textId="77777777" w:rsidR="00F56500" w:rsidRPr="005B661F" w:rsidRDefault="00F56500" w:rsidP="008E1A9F"/>
          <w:p w14:paraId="73964534" w14:textId="5AD31108" w:rsidR="00F56500" w:rsidRPr="005B661F" w:rsidRDefault="00F56500" w:rsidP="008E1A9F">
            <w:r w:rsidRPr="005B661F">
              <w:t xml:space="preserve">Cross-government work on the use of AI </w:t>
            </w:r>
            <w:r w:rsidR="001A4624">
              <w:t>may</w:t>
            </w:r>
            <w:r w:rsidRPr="005B661F">
              <w:t xml:space="preserve"> require significant resources to develop, test and implement solutions.</w:t>
            </w:r>
          </w:p>
        </w:tc>
        <w:tc>
          <w:tcPr>
            <w:tcW w:w="4172" w:type="dxa"/>
          </w:tcPr>
          <w:p w14:paraId="03B2FF77" w14:textId="4B1DEEC6" w:rsidR="00F56500" w:rsidRPr="005B661F" w:rsidRDefault="00F56500" w:rsidP="008E1A9F">
            <w:hyperlink r:id="rId20" w:history="1">
              <w:r w:rsidRPr="005B661F">
                <w:rPr>
                  <w:rStyle w:val="Hyperlink"/>
                </w:rPr>
                <w:t>The Government Chief Digital Officer (GCDO</w:t>
              </w:r>
            </w:hyperlink>
            <w:r w:rsidRPr="005B661F">
              <w:t xml:space="preserve">) leads the adoption and use of AI in the public service. The GCDO has created guidance and frameworks to support the responsible use of AI in the public service, which can be found </w:t>
            </w:r>
            <w:hyperlink r:id="rId21" w:history="1">
              <w:r w:rsidRPr="00395838">
                <w:rPr>
                  <w:rStyle w:val="Hyperlink"/>
                </w:rPr>
                <w:t>here</w:t>
              </w:r>
            </w:hyperlink>
            <w:r w:rsidRPr="005B661F">
              <w:t>.</w:t>
            </w:r>
          </w:p>
          <w:p w14:paraId="04FF27AA" w14:textId="77777777" w:rsidR="00F56500" w:rsidRPr="005B661F" w:rsidRDefault="00F56500" w:rsidP="008E1A9F"/>
          <w:p w14:paraId="66E9D679" w14:textId="77777777" w:rsidR="00F56500" w:rsidRPr="005B661F" w:rsidRDefault="00F56500" w:rsidP="008E1A9F"/>
        </w:tc>
      </w:tr>
      <w:tr w:rsidR="00F56500" w14:paraId="03E71D53" w14:textId="77777777" w:rsidTr="008E1A9F">
        <w:tc>
          <w:tcPr>
            <w:tcW w:w="5240" w:type="dxa"/>
          </w:tcPr>
          <w:p w14:paraId="45143402" w14:textId="45308182" w:rsidR="00F56500" w:rsidRDefault="00787B3D" w:rsidP="008E1A9F">
            <w:r w:rsidRPr="00A224AB">
              <w:rPr>
                <w:b/>
                <w:bCs/>
              </w:rPr>
              <w:lastRenderedPageBreak/>
              <w:t>Improv</w:t>
            </w:r>
            <w:r w:rsidR="00AA676C" w:rsidRPr="00A224AB">
              <w:rPr>
                <w:b/>
                <w:bCs/>
              </w:rPr>
              <w:t xml:space="preserve">e </w:t>
            </w:r>
            <w:r w:rsidR="005D4790" w:rsidRPr="00A224AB">
              <w:rPr>
                <w:b/>
                <w:bCs/>
              </w:rPr>
              <w:t xml:space="preserve">government </w:t>
            </w:r>
            <w:r w:rsidRPr="00A224AB">
              <w:rPr>
                <w:b/>
                <w:bCs/>
              </w:rPr>
              <w:t>consultation</w:t>
            </w:r>
            <w:r w:rsidR="005D4790">
              <w:t xml:space="preserve">. Potential commitments include: </w:t>
            </w:r>
          </w:p>
          <w:p w14:paraId="7930C622" w14:textId="79459642" w:rsidR="005D4790" w:rsidRDefault="005D4790" w:rsidP="008E1A9F">
            <w:pPr>
              <w:pStyle w:val="ListParagraph"/>
              <w:numPr>
                <w:ilvl w:val="0"/>
                <w:numId w:val="10"/>
              </w:numPr>
              <w:spacing w:line="288" w:lineRule="auto"/>
            </w:pPr>
            <w:r>
              <w:t xml:space="preserve">Improving the </w:t>
            </w:r>
            <w:r w:rsidR="007B7FD1">
              <w:t>.govt.nz</w:t>
            </w:r>
            <w:r w:rsidR="00E30D74">
              <w:t xml:space="preserve"> </w:t>
            </w:r>
            <w:r>
              <w:t xml:space="preserve">consultation website and </w:t>
            </w:r>
            <w:r w:rsidR="00E30D74">
              <w:t xml:space="preserve">potentially mandating its use. </w:t>
            </w:r>
          </w:p>
          <w:p w14:paraId="20DDE889" w14:textId="70E53835" w:rsidR="00352991" w:rsidRDefault="00352991" w:rsidP="008E1A9F">
            <w:pPr>
              <w:pStyle w:val="ListParagraph"/>
              <w:numPr>
                <w:ilvl w:val="0"/>
                <w:numId w:val="10"/>
              </w:numPr>
              <w:spacing w:line="288" w:lineRule="auto"/>
            </w:pPr>
            <w:r>
              <w:t>Learn from other states like Victoria</w:t>
            </w:r>
            <w:r w:rsidR="005F6FCA">
              <w:t>,</w:t>
            </w:r>
            <w:r>
              <w:t xml:space="preserve"> Australia who have good consultation sites.  </w:t>
            </w:r>
          </w:p>
          <w:p w14:paraId="59EAD8F1" w14:textId="18F024B3" w:rsidR="00352991" w:rsidRDefault="00352991" w:rsidP="008E1A9F"/>
        </w:tc>
        <w:tc>
          <w:tcPr>
            <w:tcW w:w="4536" w:type="dxa"/>
          </w:tcPr>
          <w:p w14:paraId="46B3B366" w14:textId="584D4A61" w:rsidR="00F56500" w:rsidRDefault="00AA676C" w:rsidP="008E1A9F">
            <w:pPr>
              <w:rPr>
                <w:i/>
                <w:iCs/>
              </w:rPr>
            </w:pPr>
            <w:r w:rsidRPr="005B661F">
              <w:t xml:space="preserve">Does not strongly align with focus areas of </w:t>
            </w:r>
            <w:r w:rsidRPr="005B661F">
              <w:rPr>
                <w:i/>
                <w:iCs/>
              </w:rPr>
              <w:t>Action Plan to strengthen integrity</w:t>
            </w:r>
            <w:r w:rsidR="00D71597">
              <w:rPr>
                <w:i/>
                <w:iCs/>
              </w:rPr>
              <w:t>.</w:t>
            </w:r>
          </w:p>
          <w:p w14:paraId="5C0CA187" w14:textId="77777777" w:rsidR="00AA676C" w:rsidRDefault="00AA676C" w:rsidP="008E1A9F"/>
          <w:p w14:paraId="21917F34" w14:textId="1A50E9A5" w:rsidR="009F3A8E" w:rsidRDefault="009F3A8E" w:rsidP="008E1A9F"/>
        </w:tc>
        <w:tc>
          <w:tcPr>
            <w:tcW w:w="4172" w:type="dxa"/>
          </w:tcPr>
          <w:p w14:paraId="65C9A5B6" w14:textId="465FF5B1" w:rsidR="00F56500" w:rsidRDefault="00011814" w:rsidP="008E1A9F">
            <w:r>
              <w:t xml:space="preserve">The all of government consultations page can be accessed </w:t>
            </w:r>
            <w:hyperlink r:id="rId22" w:history="1">
              <w:r w:rsidRPr="007B7FD1">
                <w:rPr>
                  <w:rStyle w:val="Hyperlink"/>
                </w:rPr>
                <w:t>here</w:t>
              </w:r>
            </w:hyperlink>
            <w:r>
              <w:t xml:space="preserve">. </w:t>
            </w:r>
          </w:p>
        </w:tc>
      </w:tr>
      <w:tr w:rsidR="00A73D49" w14:paraId="2979F4C0" w14:textId="77777777" w:rsidTr="008E1A9F">
        <w:tc>
          <w:tcPr>
            <w:tcW w:w="5240" w:type="dxa"/>
          </w:tcPr>
          <w:p w14:paraId="1CC5DB7F" w14:textId="25F1C176" w:rsidR="00A73D49" w:rsidRDefault="00A73D49" w:rsidP="008E1A9F">
            <w:r>
              <w:rPr>
                <w:b/>
                <w:bCs/>
              </w:rPr>
              <w:t xml:space="preserve">Better coordination </w:t>
            </w:r>
            <w:r w:rsidR="00626AC0">
              <w:rPr>
                <w:b/>
                <w:bCs/>
              </w:rPr>
              <w:t xml:space="preserve">and communication </w:t>
            </w:r>
            <w:r>
              <w:rPr>
                <w:b/>
                <w:bCs/>
              </w:rPr>
              <w:t>within agencies between policy teams and region</w:t>
            </w:r>
            <w:r w:rsidR="00626AC0">
              <w:rPr>
                <w:b/>
                <w:bCs/>
              </w:rPr>
              <w:t>al teams</w:t>
            </w:r>
            <w:r>
              <w:rPr>
                <w:b/>
                <w:bCs/>
              </w:rPr>
              <w:t xml:space="preserve">. </w:t>
            </w:r>
            <w:r>
              <w:t xml:space="preserve">Potential commitments include: </w:t>
            </w:r>
          </w:p>
          <w:p w14:paraId="023E5668" w14:textId="77777777" w:rsidR="00A73D49" w:rsidRDefault="00A73D49" w:rsidP="008E1A9F">
            <w:pPr>
              <w:pStyle w:val="ListParagraph"/>
              <w:numPr>
                <w:ilvl w:val="0"/>
                <w:numId w:val="10"/>
              </w:numPr>
              <w:spacing w:line="288" w:lineRule="auto"/>
            </w:pPr>
            <w:r>
              <w:t xml:space="preserve">Scope and develop processes to involve regional staff in policy making, so frontline and regional views are incorporated. </w:t>
            </w:r>
          </w:p>
          <w:p w14:paraId="5F133F21" w14:textId="02BE2DE2" w:rsidR="00C561AB" w:rsidRPr="00A73D49" w:rsidRDefault="00C561AB" w:rsidP="008E1A9F">
            <w:pPr>
              <w:pStyle w:val="ListParagraph"/>
            </w:pPr>
          </w:p>
        </w:tc>
        <w:tc>
          <w:tcPr>
            <w:tcW w:w="4536" w:type="dxa"/>
          </w:tcPr>
          <w:p w14:paraId="57417145" w14:textId="316A5BB7" w:rsidR="00A73D49" w:rsidRDefault="00A73D49" w:rsidP="008E1A9F">
            <w:pPr>
              <w:rPr>
                <w:i/>
                <w:iCs/>
              </w:rPr>
            </w:pPr>
            <w:r w:rsidRPr="005B661F">
              <w:t xml:space="preserve">Does not strongly align with focus areas of </w:t>
            </w:r>
            <w:r w:rsidRPr="005B661F">
              <w:rPr>
                <w:i/>
                <w:iCs/>
              </w:rPr>
              <w:t>Action Plan to strengthen integrity</w:t>
            </w:r>
            <w:r w:rsidR="00D71597">
              <w:rPr>
                <w:i/>
                <w:iCs/>
              </w:rPr>
              <w:t>.</w:t>
            </w:r>
          </w:p>
          <w:p w14:paraId="0069ADDC" w14:textId="1D0D672A" w:rsidR="00D71597" w:rsidRPr="005B661F" w:rsidRDefault="000D6C08" w:rsidP="008E1A9F">
            <w:r>
              <w:t xml:space="preserve"> </w:t>
            </w:r>
          </w:p>
        </w:tc>
        <w:tc>
          <w:tcPr>
            <w:tcW w:w="4172" w:type="dxa"/>
          </w:tcPr>
          <w:p w14:paraId="713F6E5E" w14:textId="25B83C02" w:rsidR="00A73D49" w:rsidRDefault="00AB32F3" w:rsidP="008E1A9F">
            <w:hyperlink r:id="rId23" w:history="1">
              <w:r w:rsidRPr="00AB32F3">
                <w:rPr>
                  <w:rStyle w:val="Hyperlink"/>
                </w:rPr>
                <w:t>Regional Public Service Commissioners</w:t>
              </w:r>
            </w:hyperlink>
            <w:r w:rsidRPr="00AB32F3">
              <w:t xml:space="preserve"> strengthen regional system leadership by working to coordinate and align central government decision makers.</w:t>
            </w:r>
          </w:p>
        </w:tc>
      </w:tr>
    </w:tbl>
    <w:p w14:paraId="57E70AE8" w14:textId="352C239D" w:rsidR="00FA0676" w:rsidRDefault="00FA0676"/>
    <w:sectPr w:rsidR="00FA0676" w:rsidSect="00FA0676">
      <w:headerReference w:type="default" r:id="rId24"/>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7EF0" w14:textId="77777777" w:rsidR="00001B9D" w:rsidRDefault="00001B9D" w:rsidP="00C561AB">
      <w:pPr>
        <w:spacing w:after="0" w:line="240" w:lineRule="auto"/>
      </w:pPr>
      <w:r>
        <w:separator/>
      </w:r>
    </w:p>
  </w:endnote>
  <w:endnote w:type="continuationSeparator" w:id="0">
    <w:p w14:paraId="00D54E6E" w14:textId="77777777" w:rsidR="00001B9D" w:rsidRDefault="00001B9D" w:rsidP="00C5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48F8" w14:textId="77777777" w:rsidR="00C561AB" w:rsidRDefault="00C561AB">
    <w:pPr>
      <w:pStyle w:val="Footer"/>
      <w:jc w:val="right"/>
    </w:pPr>
  </w:p>
  <w:p w14:paraId="4C361AA0" w14:textId="77777777" w:rsidR="00C561AB" w:rsidRDefault="00C561AB" w:rsidP="00C561AB">
    <w:pPr>
      <w:pStyle w:val="Header"/>
      <w:jc w:val="center"/>
    </w:pPr>
    <w:r>
      <w:t>FOR DISCUSSION ONLY – NOT GOVERNMENT POLICY</w:t>
    </w:r>
  </w:p>
  <w:sdt>
    <w:sdtPr>
      <w:id w:val="-1972661557"/>
      <w:docPartObj>
        <w:docPartGallery w:val="Page Numbers (Bottom of Page)"/>
        <w:docPartUnique/>
      </w:docPartObj>
    </w:sdtPr>
    <w:sdtEndPr>
      <w:rPr>
        <w:noProof/>
      </w:rPr>
    </w:sdtEndPr>
    <w:sdtContent>
      <w:p w14:paraId="7A515217" w14:textId="6A5705B1" w:rsidR="00C561AB" w:rsidRDefault="00C561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B3A33D" w14:textId="77777777" w:rsidR="00C561AB" w:rsidRDefault="00C56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8635" w14:textId="77777777" w:rsidR="00001B9D" w:rsidRDefault="00001B9D" w:rsidP="00C561AB">
      <w:pPr>
        <w:spacing w:after="0" w:line="240" w:lineRule="auto"/>
      </w:pPr>
      <w:r>
        <w:separator/>
      </w:r>
    </w:p>
  </w:footnote>
  <w:footnote w:type="continuationSeparator" w:id="0">
    <w:p w14:paraId="6F88C113" w14:textId="77777777" w:rsidR="00001B9D" w:rsidRDefault="00001B9D" w:rsidP="00C56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9621" w14:textId="35F498F0" w:rsidR="00C561AB" w:rsidRDefault="00C561AB" w:rsidP="00C561AB">
    <w:pPr>
      <w:pStyle w:val="Header"/>
      <w:jc w:val="center"/>
    </w:pPr>
    <w:r>
      <w:t>FOR DISCUSSION ONLY – NOT GOVERNMENT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7904"/>
    <w:multiLevelType w:val="hybridMultilevel"/>
    <w:tmpl w:val="A10606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EA4D53"/>
    <w:multiLevelType w:val="hybridMultilevel"/>
    <w:tmpl w:val="61B026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481F8C"/>
    <w:multiLevelType w:val="hybridMultilevel"/>
    <w:tmpl w:val="087E16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3964612"/>
    <w:multiLevelType w:val="hybridMultilevel"/>
    <w:tmpl w:val="CBE25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AC07EE1"/>
    <w:multiLevelType w:val="hybridMultilevel"/>
    <w:tmpl w:val="7FA42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7FA6BA8"/>
    <w:multiLevelType w:val="multilevel"/>
    <w:tmpl w:val="D6F2A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58976F0C"/>
    <w:multiLevelType w:val="hybridMultilevel"/>
    <w:tmpl w:val="F9502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8A61098"/>
    <w:multiLevelType w:val="hybridMultilevel"/>
    <w:tmpl w:val="85243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B7018D4"/>
    <w:multiLevelType w:val="multilevel"/>
    <w:tmpl w:val="7F8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34E50"/>
    <w:multiLevelType w:val="multilevel"/>
    <w:tmpl w:val="D6F2A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1374A84"/>
    <w:multiLevelType w:val="hybridMultilevel"/>
    <w:tmpl w:val="DB920A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1594FBE"/>
    <w:multiLevelType w:val="hybridMultilevel"/>
    <w:tmpl w:val="CB3692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16E72CE"/>
    <w:multiLevelType w:val="hybridMultilevel"/>
    <w:tmpl w:val="E16EC5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7A4B7E"/>
    <w:multiLevelType w:val="multilevel"/>
    <w:tmpl w:val="D4EE3A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F3D56B0"/>
    <w:multiLevelType w:val="hybridMultilevel"/>
    <w:tmpl w:val="F1C8284C"/>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15" w15:restartNumberingAfterBreak="0">
    <w:nsid w:val="75772762"/>
    <w:multiLevelType w:val="hybridMultilevel"/>
    <w:tmpl w:val="2A8832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83912714">
    <w:abstractNumId w:val="15"/>
  </w:num>
  <w:num w:numId="2" w16cid:durableId="1136333307">
    <w:abstractNumId w:val="13"/>
  </w:num>
  <w:num w:numId="3" w16cid:durableId="1175461915">
    <w:abstractNumId w:val="9"/>
  </w:num>
  <w:num w:numId="4" w16cid:durableId="1338457409">
    <w:abstractNumId w:val="1"/>
  </w:num>
  <w:num w:numId="5" w16cid:durableId="187640017">
    <w:abstractNumId w:val="5"/>
  </w:num>
  <w:num w:numId="6" w16cid:durableId="1988708982">
    <w:abstractNumId w:val="7"/>
  </w:num>
  <w:num w:numId="7" w16cid:durableId="1999381151">
    <w:abstractNumId w:val="14"/>
  </w:num>
  <w:num w:numId="8" w16cid:durableId="2078747341">
    <w:abstractNumId w:val="2"/>
  </w:num>
  <w:num w:numId="9" w16cid:durableId="330184202">
    <w:abstractNumId w:val="8"/>
  </w:num>
  <w:num w:numId="10" w16cid:durableId="360863084">
    <w:abstractNumId w:val="4"/>
  </w:num>
  <w:num w:numId="11" w16cid:durableId="365061355">
    <w:abstractNumId w:val="12"/>
  </w:num>
  <w:num w:numId="12" w16cid:durableId="459962648">
    <w:abstractNumId w:val="11"/>
  </w:num>
  <w:num w:numId="13" w16cid:durableId="698167347">
    <w:abstractNumId w:val="6"/>
  </w:num>
  <w:num w:numId="14" w16cid:durableId="708149080">
    <w:abstractNumId w:val="0"/>
  </w:num>
  <w:num w:numId="15" w16cid:durableId="909929803">
    <w:abstractNumId w:val="3"/>
  </w:num>
  <w:num w:numId="16" w16cid:durableId="1799451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FF"/>
    <w:rsid w:val="00001B9D"/>
    <w:rsid w:val="00011814"/>
    <w:rsid w:val="000149C4"/>
    <w:rsid w:val="00017753"/>
    <w:rsid w:val="00020166"/>
    <w:rsid w:val="00021C8E"/>
    <w:rsid w:val="0004166C"/>
    <w:rsid w:val="0004247A"/>
    <w:rsid w:val="0004662E"/>
    <w:rsid w:val="00060D02"/>
    <w:rsid w:val="00063706"/>
    <w:rsid w:val="00077B53"/>
    <w:rsid w:val="000A630F"/>
    <w:rsid w:val="000B3BED"/>
    <w:rsid w:val="000D4164"/>
    <w:rsid w:val="000D6C08"/>
    <w:rsid w:val="000F7ED3"/>
    <w:rsid w:val="00166455"/>
    <w:rsid w:val="001A4624"/>
    <w:rsid w:val="001B1359"/>
    <w:rsid w:val="001C237A"/>
    <w:rsid w:val="001E29DB"/>
    <w:rsid w:val="001F221B"/>
    <w:rsid w:val="001F2F01"/>
    <w:rsid w:val="001F4BA4"/>
    <w:rsid w:val="00230CF0"/>
    <w:rsid w:val="00231E92"/>
    <w:rsid w:val="0023549C"/>
    <w:rsid w:val="002557FC"/>
    <w:rsid w:val="00293B14"/>
    <w:rsid w:val="002C41B1"/>
    <w:rsid w:val="002D2866"/>
    <w:rsid w:val="002E47E6"/>
    <w:rsid w:val="002F21F5"/>
    <w:rsid w:val="002F77AA"/>
    <w:rsid w:val="00300701"/>
    <w:rsid w:val="00305C86"/>
    <w:rsid w:val="00314ACF"/>
    <w:rsid w:val="003207B4"/>
    <w:rsid w:val="0034511B"/>
    <w:rsid w:val="00352991"/>
    <w:rsid w:val="00353236"/>
    <w:rsid w:val="003647BC"/>
    <w:rsid w:val="0037325D"/>
    <w:rsid w:val="00374237"/>
    <w:rsid w:val="00376823"/>
    <w:rsid w:val="00376BB9"/>
    <w:rsid w:val="00395838"/>
    <w:rsid w:val="0039597A"/>
    <w:rsid w:val="003A03E4"/>
    <w:rsid w:val="003A63DB"/>
    <w:rsid w:val="003B12EF"/>
    <w:rsid w:val="003E6086"/>
    <w:rsid w:val="003F4A8E"/>
    <w:rsid w:val="00400C60"/>
    <w:rsid w:val="00431943"/>
    <w:rsid w:val="00436E59"/>
    <w:rsid w:val="00437D05"/>
    <w:rsid w:val="00456FCA"/>
    <w:rsid w:val="004B3DC5"/>
    <w:rsid w:val="004C756A"/>
    <w:rsid w:val="004D1060"/>
    <w:rsid w:val="004F730C"/>
    <w:rsid w:val="0051165B"/>
    <w:rsid w:val="0051658A"/>
    <w:rsid w:val="0052400C"/>
    <w:rsid w:val="005259A0"/>
    <w:rsid w:val="00532724"/>
    <w:rsid w:val="00541F0A"/>
    <w:rsid w:val="00554D14"/>
    <w:rsid w:val="00562507"/>
    <w:rsid w:val="0057740F"/>
    <w:rsid w:val="005B0459"/>
    <w:rsid w:val="005B661F"/>
    <w:rsid w:val="005B687E"/>
    <w:rsid w:val="005C1100"/>
    <w:rsid w:val="005D4790"/>
    <w:rsid w:val="005D4D37"/>
    <w:rsid w:val="005F1A90"/>
    <w:rsid w:val="005F6FCA"/>
    <w:rsid w:val="006018B1"/>
    <w:rsid w:val="0060525A"/>
    <w:rsid w:val="006211BB"/>
    <w:rsid w:val="00626AC0"/>
    <w:rsid w:val="006370AA"/>
    <w:rsid w:val="00650728"/>
    <w:rsid w:val="006508C7"/>
    <w:rsid w:val="00652C21"/>
    <w:rsid w:val="00661A4A"/>
    <w:rsid w:val="0068138D"/>
    <w:rsid w:val="00693AFE"/>
    <w:rsid w:val="006A4D76"/>
    <w:rsid w:val="006A63D5"/>
    <w:rsid w:val="006D175D"/>
    <w:rsid w:val="006F4C06"/>
    <w:rsid w:val="00702CAE"/>
    <w:rsid w:val="00721D7E"/>
    <w:rsid w:val="00722C6E"/>
    <w:rsid w:val="007316D8"/>
    <w:rsid w:val="00736426"/>
    <w:rsid w:val="00753D11"/>
    <w:rsid w:val="00773ECD"/>
    <w:rsid w:val="00775108"/>
    <w:rsid w:val="007756ED"/>
    <w:rsid w:val="00787B3D"/>
    <w:rsid w:val="007B5D84"/>
    <w:rsid w:val="007B7FD1"/>
    <w:rsid w:val="00800177"/>
    <w:rsid w:val="00802EAA"/>
    <w:rsid w:val="008165F6"/>
    <w:rsid w:val="008659A7"/>
    <w:rsid w:val="00870A54"/>
    <w:rsid w:val="008B19FE"/>
    <w:rsid w:val="008B1EE2"/>
    <w:rsid w:val="008B596E"/>
    <w:rsid w:val="008C62FF"/>
    <w:rsid w:val="008C7CD9"/>
    <w:rsid w:val="008D1680"/>
    <w:rsid w:val="008D16E6"/>
    <w:rsid w:val="008E1A9F"/>
    <w:rsid w:val="009030B2"/>
    <w:rsid w:val="00911D54"/>
    <w:rsid w:val="0091257B"/>
    <w:rsid w:val="00916701"/>
    <w:rsid w:val="00926933"/>
    <w:rsid w:val="00943F82"/>
    <w:rsid w:val="0094632E"/>
    <w:rsid w:val="0097239E"/>
    <w:rsid w:val="009A067D"/>
    <w:rsid w:val="009F3A8E"/>
    <w:rsid w:val="00A04008"/>
    <w:rsid w:val="00A04E75"/>
    <w:rsid w:val="00A2170C"/>
    <w:rsid w:val="00A224AB"/>
    <w:rsid w:val="00A22AAF"/>
    <w:rsid w:val="00A24E73"/>
    <w:rsid w:val="00A25DD8"/>
    <w:rsid w:val="00A533A4"/>
    <w:rsid w:val="00A53F83"/>
    <w:rsid w:val="00A578A1"/>
    <w:rsid w:val="00A73D49"/>
    <w:rsid w:val="00A83553"/>
    <w:rsid w:val="00AA094B"/>
    <w:rsid w:val="00AA451C"/>
    <w:rsid w:val="00AA676C"/>
    <w:rsid w:val="00AB32F3"/>
    <w:rsid w:val="00AC1958"/>
    <w:rsid w:val="00AC6E88"/>
    <w:rsid w:val="00AC7998"/>
    <w:rsid w:val="00AD59D5"/>
    <w:rsid w:val="00AE22E9"/>
    <w:rsid w:val="00AF2288"/>
    <w:rsid w:val="00B01A81"/>
    <w:rsid w:val="00B0417C"/>
    <w:rsid w:val="00B04E32"/>
    <w:rsid w:val="00B43299"/>
    <w:rsid w:val="00B4783D"/>
    <w:rsid w:val="00B8414C"/>
    <w:rsid w:val="00B9142E"/>
    <w:rsid w:val="00B92187"/>
    <w:rsid w:val="00B93C5A"/>
    <w:rsid w:val="00BA0287"/>
    <w:rsid w:val="00BA3046"/>
    <w:rsid w:val="00BA3AC9"/>
    <w:rsid w:val="00BA42D8"/>
    <w:rsid w:val="00BE3325"/>
    <w:rsid w:val="00C00DCC"/>
    <w:rsid w:val="00C123C8"/>
    <w:rsid w:val="00C1318E"/>
    <w:rsid w:val="00C26CDB"/>
    <w:rsid w:val="00C47663"/>
    <w:rsid w:val="00C51554"/>
    <w:rsid w:val="00C561AB"/>
    <w:rsid w:val="00C7074A"/>
    <w:rsid w:val="00C952C4"/>
    <w:rsid w:val="00CB4E0A"/>
    <w:rsid w:val="00CC6329"/>
    <w:rsid w:val="00CD2795"/>
    <w:rsid w:val="00CE5C38"/>
    <w:rsid w:val="00D100F4"/>
    <w:rsid w:val="00D2450B"/>
    <w:rsid w:val="00D2671D"/>
    <w:rsid w:val="00D36A2A"/>
    <w:rsid w:val="00D404EA"/>
    <w:rsid w:val="00D43791"/>
    <w:rsid w:val="00D552D9"/>
    <w:rsid w:val="00D71597"/>
    <w:rsid w:val="00D81E64"/>
    <w:rsid w:val="00D82704"/>
    <w:rsid w:val="00D854FD"/>
    <w:rsid w:val="00D86B7C"/>
    <w:rsid w:val="00D93262"/>
    <w:rsid w:val="00D958D9"/>
    <w:rsid w:val="00D967C0"/>
    <w:rsid w:val="00DA3AB3"/>
    <w:rsid w:val="00DB3061"/>
    <w:rsid w:val="00DB4878"/>
    <w:rsid w:val="00DC5546"/>
    <w:rsid w:val="00DC57B5"/>
    <w:rsid w:val="00DE78A5"/>
    <w:rsid w:val="00DF18B6"/>
    <w:rsid w:val="00DF2650"/>
    <w:rsid w:val="00DF5D9E"/>
    <w:rsid w:val="00DF5F65"/>
    <w:rsid w:val="00E261BF"/>
    <w:rsid w:val="00E30D74"/>
    <w:rsid w:val="00E32B1F"/>
    <w:rsid w:val="00E34243"/>
    <w:rsid w:val="00E34C61"/>
    <w:rsid w:val="00E352BD"/>
    <w:rsid w:val="00E5117F"/>
    <w:rsid w:val="00E53CA8"/>
    <w:rsid w:val="00E56ADA"/>
    <w:rsid w:val="00E605DC"/>
    <w:rsid w:val="00E80825"/>
    <w:rsid w:val="00E832D4"/>
    <w:rsid w:val="00E94AFF"/>
    <w:rsid w:val="00EA1026"/>
    <w:rsid w:val="00EA7E23"/>
    <w:rsid w:val="00EF3423"/>
    <w:rsid w:val="00F23D53"/>
    <w:rsid w:val="00F37BA8"/>
    <w:rsid w:val="00F472EA"/>
    <w:rsid w:val="00F56500"/>
    <w:rsid w:val="00F572BB"/>
    <w:rsid w:val="00F62525"/>
    <w:rsid w:val="00F75760"/>
    <w:rsid w:val="00F83A46"/>
    <w:rsid w:val="00F871AD"/>
    <w:rsid w:val="00F96637"/>
    <w:rsid w:val="00F97E9F"/>
    <w:rsid w:val="00FA0676"/>
    <w:rsid w:val="00FA7D76"/>
    <w:rsid w:val="00FC531C"/>
    <w:rsid w:val="00FE1C00"/>
    <w:rsid w:val="00FF18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2DA0E"/>
  <w15:chartTrackingRefBased/>
  <w15:docId w15:val="{BD8F6B9C-16DE-4699-91D9-526586A7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2FF"/>
    <w:rPr>
      <w:rFonts w:eastAsiaTheme="majorEastAsia" w:cstheme="majorBidi"/>
      <w:color w:val="272727" w:themeColor="text1" w:themeTint="D8"/>
    </w:rPr>
  </w:style>
  <w:style w:type="paragraph" w:styleId="Title">
    <w:name w:val="Title"/>
    <w:basedOn w:val="Normal"/>
    <w:next w:val="Normal"/>
    <w:link w:val="TitleChar"/>
    <w:uiPriority w:val="10"/>
    <w:qFormat/>
    <w:rsid w:val="008C6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2FF"/>
    <w:pPr>
      <w:spacing w:before="160"/>
      <w:jc w:val="center"/>
    </w:pPr>
    <w:rPr>
      <w:i/>
      <w:iCs/>
      <w:color w:val="404040" w:themeColor="text1" w:themeTint="BF"/>
    </w:rPr>
  </w:style>
  <w:style w:type="character" w:customStyle="1" w:styleId="QuoteChar">
    <w:name w:val="Quote Char"/>
    <w:basedOn w:val="DefaultParagraphFont"/>
    <w:link w:val="Quote"/>
    <w:uiPriority w:val="29"/>
    <w:rsid w:val="008C62FF"/>
    <w:rPr>
      <w:i/>
      <w:iCs/>
      <w:color w:val="404040" w:themeColor="text1" w:themeTint="BF"/>
    </w:rPr>
  </w:style>
  <w:style w:type="paragraph" w:styleId="ListParagraph">
    <w:name w:val="List Paragraph"/>
    <w:basedOn w:val="Normal"/>
    <w:uiPriority w:val="34"/>
    <w:qFormat/>
    <w:rsid w:val="008C62FF"/>
    <w:pPr>
      <w:ind w:left="720"/>
      <w:contextualSpacing/>
    </w:pPr>
  </w:style>
  <w:style w:type="character" w:styleId="IntenseEmphasis">
    <w:name w:val="Intense Emphasis"/>
    <w:basedOn w:val="DefaultParagraphFont"/>
    <w:uiPriority w:val="21"/>
    <w:qFormat/>
    <w:rsid w:val="008C62FF"/>
    <w:rPr>
      <w:i/>
      <w:iCs/>
      <w:color w:val="0F4761" w:themeColor="accent1" w:themeShade="BF"/>
    </w:rPr>
  </w:style>
  <w:style w:type="paragraph" w:styleId="IntenseQuote">
    <w:name w:val="Intense Quote"/>
    <w:basedOn w:val="Normal"/>
    <w:next w:val="Normal"/>
    <w:link w:val="IntenseQuoteChar"/>
    <w:uiPriority w:val="30"/>
    <w:qFormat/>
    <w:rsid w:val="008C6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2FF"/>
    <w:rPr>
      <w:i/>
      <w:iCs/>
      <w:color w:val="0F4761" w:themeColor="accent1" w:themeShade="BF"/>
    </w:rPr>
  </w:style>
  <w:style w:type="character" w:styleId="IntenseReference">
    <w:name w:val="Intense Reference"/>
    <w:basedOn w:val="DefaultParagraphFont"/>
    <w:uiPriority w:val="32"/>
    <w:qFormat/>
    <w:rsid w:val="008C62FF"/>
    <w:rPr>
      <w:b/>
      <w:bCs/>
      <w:smallCaps/>
      <w:color w:val="0F4761" w:themeColor="accent1" w:themeShade="BF"/>
      <w:spacing w:val="5"/>
    </w:rPr>
  </w:style>
  <w:style w:type="table" w:styleId="TableGrid">
    <w:name w:val="Table Grid"/>
    <w:basedOn w:val="TableNormal"/>
    <w:uiPriority w:val="39"/>
    <w:rsid w:val="008659A7"/>
    <w:pPr>
      <w:spacing w:after="0" w:line="240" w:lineRule="auto"/>
    </w:pPr>
    <w:tblPr/>
  </w:style>
  <w:style w:type="character" w:styleId="Hyperlink">
    <w:name w:val="Hyperlink"/>
    <w:basedOn w:val="DefaultParagraphFont"/>
    <w:uiPriority w:val="99"/>
    <w:unhideWhenUsed/>
    <w:rsid w:val="0068138D"/>
    <w:rPr>
      <w:color w:val="467886" w:themeColor="hyperlink"/>
      <w:u w:val="single"/>
    </w:rPr>
  </w:style>
  <w:style w:type="character" w:styleId="UnresolvedMention">
    <w:name w:val="Unresolved Mention"/>
    <w:basedOn w:val="DefaultParagraphFont"/>
    <w:uiPriority w:val="99"/>
    <w:semiHidden/>
    <w:unhideWhenUsed/>
    <w:rsid w:val="0068138D"/>
    <w:rPr>
      <w:color w:val="605E5C"/>
      <w:shd w:val="clear" w:color="auto" w:fill="E1DFDD"/>
    </w:rPr>
  </w:style>
  <w:style w:type="character" w:styleId="FollowedHyperlink">
    <w:name w:val="FollowedHyperlink"/>
    <w:basedOn w:val="DefaultParagraphFont"/>
    <w:uiPriority w:val="99"/>
    <w:semiHidden/>
    <w:unhideWhenUsed/>
    <w:rsid w:val="0051165B"/>
    <w:rPr>
      <w:color w:val="96607D" w:themeColor="followedHyperlink"/>
      <w:u w:val="single"/>
    </w:rPr>
  </w:style>
  <w:style w:type="character" w:styleId="CommentReference">
    <w:name w:val="annotation reference"/>
    <w:basedOn w:val="DefaultParagraphFont"/>
    <w:uiPriority w:val="99"/>
    <w:semiHidden/>
    <w:unhideWhenUsed/>
    <w:rsid w:val="00CB4E0A"/>
    <w:rPr>
      <w:sz w:val="16"/>
      <w:szCs w:val="16"/>
    </w:rPr>
  </w:style>
  <w:style w:type="paragraph" w:styleId="CommentText">
    <w:name w:val="annotation text"/>
    <w:basedOn w:val="Normal"/>
    <w:link w:val="CommentTextChar"/>
    <w:uiPriority w:val="99"/>
    <w:unhideWhenUsed/>
    <w:rsid w:val="00CB4E0A"/>
    <w:pPr>
      <w:spacing w:line="240" w:lineRule="auto"/>
    </w:pPr>
    <w:rPr>
      <w:sz w:val="20"/>
      <w:szCs w:val="20"/>
    </w:rPr>
  </w:style>
  <w:style w:type="character" w:customStyle="1" w:styleId="CommentTextChar">
    <w:name w:val="Comment Text Char"/>
    <w:basedOn w:val="DefaultParagraphFont"/>
    <w:link w:val="CommentText"/>
    <w:uiPriority w:val="99"/>
    <w:rsid w:val="00CB4E0A"/>
    <w:rPr>
      <w:sz w:val="20"/>
      <w:szCs w:val="20"/>
    </w:rPr>
  </w:style>
  <w:style w:type="paragraph" w:styleId="CommentSubject">
    <w:name w:val="annotation subject"/>
    <w:basedOn w:val="CommentText"/>
    <w:next w:val="CommentText"/>
    <w:link w:val="CommentSubjectChar"/>
    <w:uiPriority w:val="99"/>
    <w:semiHidden/>
    <w:unhideWhenUsed/>
    <w:rsid w:val="00CB4E0A"/>
    <w:rPr>
      <w:b/>
      <w:bCs/>
    </w:rPr>
  </w:style>
  <w:style w:type="character" w:customStyle="1" w:styleId="CommentSubjectChar">
    <w:name w:val="Comment Subject Char"/>
    <w:basedOn w:val="CommentTextChar"/>
    <w:link w:val="CommentSubject"/>
    <w:uiPriority w:val="99"/>
    <w:semiHidden/>
    <w:rsid w:val="00CB4E0A"/>
    <w:rPr>
      <w:b/>
      <w:bCs/>
      <w:sz w:val="20"/>
      <w:szCs w:val="20"/>
    </w:rPr>
  </w:style>
  <w:style w:type="paragraph" w:styleId="Revision">
    <w:name w:val="Revision"/>
    <w:hidden/>
    <w:uiPriority w:val="99"/>
    <w:semiHidden/>
    <w:rsid w:val="00650728"/>
    <w:pPr>
      <w:spacing w:after="0" w:line="240" w:lineRule="auto"/>
    </w:pPr>
  </w:style>
  <w:style w:type="table" w:styleId="TableGridLight">
    <w:name w:val="Grid Table Light"/>
    <w:basedOn w:val="TableNormal"/>
    <w:uiPriority w:val="40"/>
    <w:rsid w:val="00C561AB"/>
    <w:pPr>
      <w:spacing w:after="0" w:line="240" w:lineRule="auto"/>
    </w:pPr>
    <w:tblPr/>
  </w:style>
  <w:style w:type="paragraph" w:styleId="Header">
    <w:name w:val="header"/>
    <w:basedOn w:val="Normal"/>
    <w:link w:val="HeaderChar"/>
    <w:uiPriority w:val="99"/>
    <w:unhideWhenUsed/>
    <w:rsid w:val="00C56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AB"/>
  </w:style>
  <w:style w:type="paragraph" w:styleId="Footer">
    <w:name w:val="footer"/>
    <w:basedOn w:val="Normal"/>
    <w:link w:val="FooterChar"/>
    <w:uiPriority w:val="99"/>
    <w:unhideWhenUsed/>
    <w:rsid w:val="00C56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govt.nz/justice-sector-policy/regulatory-stewardship/regulatory-systems/constitutional/transparency-and-scrutiny-of-executive-action/" TargetMode="External"/><Relationship Id="rId18" Type="http://schemas.openxmlformats.org/officeDocument/2006/relationships/hyperlink" Target="https://www.publicservice.govt.nz/system/leaders/leadership-development/leadership-success-profi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igital.govt.nz/standards-and-guidance/technology-and-architecture/artificial-intelligence/responsible-ai-guidance-for-the-public-service-genai" TargetMode="External"/><Relationship Id="rId7" Type="http://schemas.openxmlformats.org/officeDocument/2006/relationships/settings" Target="settings.xml"/><Relationship Id="rId12" Type="http://schemas.openxmlformats.org/officeDocument/2006/relationships/hyperlink" Target="https://www.publicservice.govt.nz/guidance/model-standards-speaking-up/your-complaint-your-rights" TargetMode="External"/><Relationship Id="rId17" Type="http://schemas.openxmlformats.org/officeDocument/2006/relationships/hyperlink" Target="https://www.publicservice.govt.nz/assets/Conflict-of-interest-management-plan-examples-FINAL-2.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blicservice.govt.nz/assets/DirectoryFile/One-page-guide-to-conflicts-of-interest-conversations-and-explanatory-notes.pdf" TargetMode="External"/><Relationship Id="rId20" Type="http://schemas.openxmlformats.org/officeDocument/2006/relationships/hyperlink" Target="https://www.digital.govt.nz/standards-and-guidance/technology-and-architecture/artificial-intellig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service.govt.nz/guidance/model-standards-speaking-up/your-complaint-your-right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ublicservice.govt.nz/guidance/model-standards-conflicts-of-interest" TargetMode="External"/><Relationship Id="rId23" Type="http://schemas.openxmlformats.org/officeDocument/2006/relationships/hyperlink" Target="https://www.publicservice.govt.nz/system/regions" TargetMode="External"/><Relationship Id="rId10" Type="http://schemas.openxmlformats.org/officeDocument/2006/relationships/endnotes" Target="endnotes.xml"/><Relationship Id="rId19" Type="http://schemas.openxmlformats.org/officeDocument/2006/relationships/hyperlink" Target="https://www.ldc.govt.nz/public-service-core-learning-hub/core-capability/core-capability-political-neutra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govt.nz/standards-and-guidance/information-sharing-standard" TargetMode="External"/><Relationship Id="rId22" Type="http://schemas.openxmlformats.org/officeDocument/2006/relationships/hyperlink" Target="https://www.govt.nz/browse/engaging-with-government/consultations-have-your-say/consultations-list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a67773-b602-44e2-9df0-6b1cc69b2bfd">
      <Terms xmlns="http://schemas.microsoft.com/office/infopath/2007/PartnerControls"/>
    </lcf76f155ced4ddcb4097134ff3c332f>
    <h74be024764340d3b7f89a8fa3f4dfe5 xmlns="e0a67773-b602-44e2-9df0-6b1cc69b2bfd">
      <Terms xmlns="http://schemas.microsoft.com/office/infopath/2007/PartnerControls"/>
    </h74be024764340d3b7f89a8fa3f4dfe5>
    <TaxCatchAll xmlns="063a132e-7922-4f1a-9ebb-16b3e240ff44" xsi:nil="true"/>
    <_dlc_DocId xmlns="063a132e-7922-4f1a-9ebb-16b3e240ff44">TKMIES-1962100866-9788</_dlc_DocId>
    <_dlc_DocIdUrl xmlns="063a132e-7922-4f1a-9ebb-16b3e240ff44">
      <Url>https://sscnz.sharepoint.com/sites/IES-SP/_layouts/15/DocIdRedir.aspx?ID=TKMIES-1962100866-9788</Url>
      <Description>TKMIES-1962100866-9788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37CD02-78DE-4013-8303-CA09016C387B}">
  <ds:schemaRefs>
    <ds:schemaRef ds:uri="http://schemas.microsoft.com/sharepoint/v3/contenttype/forms"/>
  </ds:schemaRefs>
</ds:datastoreItem>
</file>

<file path=customXml/itemProps2.xml><?xml version="1.0" encoding="utf-8"?>
<ds:datastoreItem xmlns:ds="http://schemas.openxmlformats.org/officeDocument/2006/customXml" ds:itemID="{DCEECD26-3F0D-4ABF-B432-808313940285}">
  <ds:schemaRefs>
    <ds:schemaRef ds:uri="http://schemas.microsoft.com/office/2006/metadata/properties"/>
    <ds:schemaRef ds:uri="http://schemas.microsoft.com/office/infopath/2007/PartnerControls"/>
    <ds:schemaRef ds:uri="e0a67773-b602-44e2-9df0-6b1cc69b2bfd"/>
    <ds:schemaRef ds:uri="063a132e-7922-4f1a-9ebb-16b3e240ff44"/>
  </ds:schemaRefs>
</ds:datastoreItem>
</file>

<file path=customXml/itemProps3.xml><?xml version="1.0" encoding="utf-8"?>
<ds:datastoreItem xmlns:ds="http://schemas.openxmlformats.org/officeDocument/2006/customXml" ds:itemID="{E81F8725-C8FE-4C3A-BA3A-F23E8A42C027}"/>
</file>

<file path=customXml/itemProps4.xml><?xml version="1.0" encoding="utf-8"?>
<ds:datastoreItem xmlns:ds="http://schemas.openxmlformats.org/officeDocument/2006/customXml" ds:itemID="{7C229AFD-C5E1-4DD8-B1ED-96E032B49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884</Words>
  <Characters>5395</Characters>
  <DocSecurity>0</DocSecurity>
  <Lines>227</Lines>
  <Paragraphs>63</Paragraphs>
  <ScaleCrop>false</ScaleCrop>
  <Company/>
  <LinksUpToDate>false</LinksUpToDate>
  <CharactersWithSpaces>6279</CharactersWithSpaces>
  <SharedDoc>false</SharedDoc>
  <HLinks>
    <vt:vector size="78" baseType="variant">
      <vt:variant>
        <vt:i4>6226011</vt:i4>
      </vt:variant>
      <vt:variant>
        <vt:i4>36</vt:i4>
      </vt:variant>
      <vt:variant>
        <vt:i4>0</vt:i4>
      </vt:variant>
      <vt:variant>
        <vt:i4>5</vt:i4>
      </vt:variant>
      <vt:variant>
        <vt:lpwstr>https://www.publicservice.govt.nz/system/regions</vt:lpwstr>
      </vt:variant>
      <vt:variant>
        <vt:lpwstr/>
      </vt:variant>
      <vt:variant>
        <vt:i4>2949179</vt:i4>
      </vt:variant>
      <vt:variant>
        <vt:i4>33</vt:i4>
      </vt:variant>
      <vt:variant>
        <vt:i4>0</vt:i4>
      </vt:variant>
      <vt:variant>
        <vt:i4>5</vt:i4>
      </vt:variant>
      <vt:variant>
        <vt:lpwstr>https://www.govt.nz/browse/engaging-with-government/consultations-have-your-say/consultations-listing/</vt:lpwstr>
      </vt:variant>
      <vt:variant>
        <vt:lpwstr/>
      </vt:variant>
      <vt:variant>
        <vt:i4>2490429</vt:i4>
      </vt:variant>
      <vt:variant>
        <vt:i4>30</vt:i4>
      </vt:variant>
      <vt:variant>
        <vt:i4>0</vt:i4>
      </vt:variant>
      <vt:variant>
        <vt:i4>5</vt:i4>
      </vt:variant>
      <vt:variant>
        <vt:lpwstr>https://www.digital.govt.nz/standards-and-guidance/technology-and-architecture/artificial-intelligence/responsible-ai-guidance-for-the-public-service-genai</vt:lpwstr>
      </vt:variant>
      <vt:variant>
        <vt:lpwstr/>
      </vt:variant>
      <vt:variant>
        <vt:i4>6291568</vt:i4>
      </vt:variant>
      <vt:variant>
        <vt:i4>27</vt:i4>
      </vt:variant>
      <vt:variant>
        <vt:i4>0</vt:i4>
      </vt:variant>
      <vt:variant>
        <vt:i4>5</vt:i4>
      </vt:variant>
      <vt:variant>
        <vt:lpwstr>https://www.digital.govt.nz/standards-and-guidance/technology-and-architecture/artificial-intelligence</vt:lpwstr>
      </vt:variant>
      <vt:variant>
        <vt:lpwstr/>
      </vt:variant>
      <vt:variant>
        <vt:i4>1441865</vt:i4>
      </vt:variant>
      <vt:variant>
        <vt:i4>24</vt:i4>
      </vt:variant>
      <vt:variant>
        <vt:i4>0</vt:i4>
      </vt:variant>
      <vt:variant>
        <vt:i4>5</vt:i4>
      </vt:variant>
      <vt:variant>
        <vt:lpwstr>https://www.ldc.govt.nz/public-service-core-learning-hub/core-capability/core-capability-political-neutrality</vt:lpwstr>
      </vt:variant>
      <vt:variant>
        <vt:lpwstr/>
      </vt:variant>
      <vt:variant>
        <vt:i4>3080318</vt:i4>
      </vt:variant>
      <vt:variant>
        <vt:i4>21</vt:i4>
      </vt:variant>
      <vt:variant>
        <vt:i4>0</vt:i4>
      </vt:variant>
      <vt:variant>
        <vt:i4>5</vt:i4>
      </vt:variant>
      <vt:variant>
        <vt:lpwstr>https://www.publicservice.govt.nz/system/leaders/leadership-development/leadership-success-profile</vt:lpwstr>
      </vt:variant>
      <vt:variant>
        <vt:lpwstr/>
      </vt:variant>
      <vt:variant>
        <vt:i4>2687085</vt:i4>
      </vt:variant>
      <vt:variant>
        <vt:i4>18</vt:i4>
      </vt:variant>
      <vt:variant>
        <vt:i4>0</vt:i4>
      </vt:variant>
      <vt:variant>
        <vt:i4>5</vt:i4>
      </vt:variant>
      <vt:variant>
        <vt:lpwstr>https://www.publicservice.govt.nz/assets/Conflict-of-interest-management-plan-examples-FINAL-2.pdf</vt:lpwstr>
      </vt:variant>
      <vt:variant>
        <vt:lpwstr/>
      </vt:variant>
      <vt:variant>
        <vt:i4>8126588</vt:i4>
      </vt:variant>
      <vt:variant>
        <vt:i4>15</vt:i4>
      </vt:variant>
      <vt:variant>
        <vt:i4>0</vt:i4>
      </vt:variant>
      <vt:variant>
        <vt:i4>5</vt:i4>
      </vt:variant>
      <vt:variant>
        <vt:lpwstr>https://www.publicservice.govt.nz/assets/DirectoryFile/One-page-guide-to-conflicts-of-interest-conversations-and-explanatory-notes.pdf</vt:lpwstr>
      </vt:variant>
      <vt:variant>
        <vt:lpwstr/>
      </vt:variant>
      <vt:variant>
        <vt:i4>1507334</vt:i4>
      </vt:variant>
      <vt:variant>
        <vt:i4>12</vt:i4>
      </vt:variant>
      <vt:variant>
        <vt:i4>0</vt:i4>
      </vt:variant>
      <vt:variant>
        <vt:i4>5</vt:i4>
      </vt:variant>
      <vt:variant>
        <vt:lpwstr>https://www.publicservice.govt.nz/guidance/model-standards-conflicts-of-interest</vt:lpwstr>
      </vt:variant>
      <vt:variant>
        <vt:lpwstr/>
      </vt:variant>
      <vt:variant>
        <vt:i4>3473463</vt:i4>
      </vt:variant>
      <vt:variant>
        <vt:i4>9</vt:i4>
      </vt:variant>
      <vt:variant>
        <vt:i4>0</vt:i4>
      </vt:variant>
      <vt:variant>
        <vt:i4>5</vt:i4>
      </vt:variant>
      <vt:variant>
        <vt:lpwstr>https://www.digital.govt.nz/standards-and-guidance/information-sharing-standard</vt:lpwstr>
      </vt:variant>
      <vt:variant>
        <vt:lpwstr/>
      </vt:variant>
      <vt:variant>
        <vt:i4>4390984</vt:i4>
      </vt:variant>
      <vt:variant>
        <vt:i4>6</vt:i4>
      </vt:variant>
      <vt:variant>
        <vt:i4>0</vt:i4>
      </vt:variant>
      <vt:variant>
        <vt:i4>5</vt:i4>
      </vt:variant>
      <vt:variant>
        <vt:lpwstr>https://www.justice.govt.nz/justice-sector-policy/regulatory-stewardship/regulatory-systems/constitutional/transparency-and-scrutiny-of-executive-action/</vt:lpwstr>
      </vt:variant>
      <vt:variant>
        <vt:lpwstr/>
      </vt:variant>
      <vt:variant>
        <vt:i4>1048642</vt:i4>
      </vt:variant>
      <vt:variant>
        <vt:i4>3</vt:i4>
      </vt:variant>
      <vt:variant>
        <vt:i4>0</vt:i4>
      </vt:variant>
      <vt:variant>
        <vt:i4>5</vt:i4>
      </vt:variant>
      <vt:variant>
        <vt:lpwstr>https://www.publicservice.govt.nz/guidance/model-standards-speaking-up/your-complaint-your-rights</vt:lpwstr>
      </vt:variant>
      <vt:variant>
        <vt:lpwstr/>
      </vt:variant>
      <vt:variant>
        <vt:i4>1048642</vt:i4>
      </vt:variant>
      <vt:variant>
        <vt:i4>0</vt:i4>
      </vt:variant>
      <vt:variant>
        <vt:i4>0</vt:i4>
      </vt:variant>
      <vt:variant>
        <vt:i4>5</vt:i4>
      </vt:variant>
      <vt:variant>
        <vt:lpwstr>https://www.publicservice.govt.nz/guidance/model-standards-speaking-up/your-complaint-your-rights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2025-10-20T04:52:00Z</dcterms:created>
  <dcterms:modified xsi:type="dcterms:W3CDTF">2025-11-13T01:45:00Z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0x010100F21C7F10602F9242B907F172BE191C25</vt:lpwstr>
  </property>
  <property fmtid="{D5CDD505-2E9C-101B-9397-08002B2CF9AE}" pid="3" name="_dlc_DocIdItemGuid">
    <vt:lpwstr>639bc505-f065-4dea-a082-b5e02d48d73c</vt:lpwstr>
  </property>
  <property fmtid="{D5CDD505-2E9C-101B-9397-08002B2CF9AE}" pid="4" name="MediaServiceImageTags">
    <vt:lpwstr/>
  </property>
  <property fmtid="{D5CDD505-2E9C-101B-9397-08002B2CF9AE}" pid="5" name="Sub_x002d_heading">
    <vt:lpwstr/>
  </property>
  <property fmtid="{D5CDD505-2E9C-101B-9397-08002B2CF9AE}" pid="6" name="Sub-heading">
    <vt:lpwstr/>
  </property>
</Properties>
</file>